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14"/>
        <w:gridCol w:w="492"/>
        <w:gridCol w:w="9493"/>
      </w:tblGrid>
      <w:tr w:rsidR="00DF2950" w:rsidRPr="00396450" w14:paraId="441B0CE6" w14:textId="77777777" w:rsidTr="00FB2DF4">
        <w:trPr>
          <w:cantSplit/>
          <w:jc w:val="center"/>
        </w:trPr>
        <w:tc>
          <w:tcPr>
            <w:tcW w:w="10790" w:type="dxa"/>
            <w:gridSpan w:val="4"/>
          </w:tcPr>
          <w:p w14:paraId="0FE7A113" w14:textId="6C3A246C" w:rsidR="00761E9E" w:rsidRPr="00396450" w:rsidRDefault="00DF2950" w:rsidP="00FB2CBC">
            <w:pPr>
              <w:pStyle w:val="ChecklistBasis"/>
            </w:pPr>
            <w:r w:rsidRPr="00396450">
              <w:t xml:space="preserve">The purpose of this </w:t>
            </w:r>
            <w:r w:rsidR="00797040" w:rsidRPr="00396450">
              <w:t>worksheet</w:t>
            </w:r>
            <w:r w:rsidRPr="00396450">
              <w:t xml:space="preserve"> is to provide support for IRB staff pre-reviewing research involving devices.</w:t>
            </w:r>
            <w:r w:rsidR="00621710" w:rsidRPr="00396450">
              <w:t xml:space="preserve"> This </w:t>
            </w:r>
            <w:r w:rsidR="00797040" w:rsidRPr="00396450">
              <w:t>worksheet</w:t>
            </w:r>
            <w:r w:rsidR="00D05D14">
              <w:t xml:space="preserve"> is to be </w:t>
            </w:r>
            <w:r w:rsidR="00621710" w:rsidRPr="00396450">
              <w:t>used. It does not need to be completed or retained</w:t>
            </w:r>
            <w:r w:rsidR="00761E9E">
              <w:t>.  Please only complete the HDE or IDE portion of the worksheet, not both.</w:t>
            </w:r>
          </w:p>
        </w:tc>
      </w:tr>
      <w:tr w:rsidR="002B723F" w:rsidRPr="00396450" w14:paraId="6847F7E5" w14:textId="77777777" w:rsidTr="00FB2DF4">
        <w:trPr>
          <w:trHeight w:hRule="exact" w:val="72"/>
          <w:jc w:val="center"/>
        </w:trPr>
        <w:tc>
          <w:tcPr>
            <w:tcW w:w="10790" w:type="dxa"/>
            <w:gridSpan w:val="4"/>
            <w:shd w:val="clear" w:color="auto" w:fill="000000"/>
          </w:tcPr>
          <w:p w14:paraId="5CCAB9D5" w14:textId="77777777" w:rsidR="002B723F" w:rsidRPr="00396450" w:rsidRDefault="002B723F" w:rsidP="00D02E37">
            <w:pPr>
              <w:rPr>
                <w:sz w:val="10"/>
                <w:szCs w:val="10"/>
              </w:rPr>
            </w:pPr>
          </w:p>
        </w:tc>
      </w:tr>
      <w:tr w:rsidR="00FB2CBC" w:rsidRPr="00396450" w14:paraId="08550DF9" w14:textId="77777777" w:rsidTr="00FB2DF4">
        <w:trPr>
          <w:jc w:val="center"/>
        </w:trPr>
        <w:tc>
          <w:tcPr>
            <w:tcW w:w="10790" w:type="dxa"/>
            <w:gridSpan w:val="4"/>
          </w:tcPr>
          <w:p w14:paraId="1969BBC4" w14:textId="1A3B8EC1" w:rsidR="00FB2CBC" w:rsidRPr="00396450" w:rsidRDefault="00FB2CBC" w:rsidP="00FB2CBC">
            <w:pPr>
              <w:pStyle w:val="ChecklistLevel1"/>
              <w:numPr>
                <w:ilvl w:val="0"/>
                <w:numId w:val="39"/>
              </w:numPr>
            </w:pPr>
            <w:r>
              <w:t xml:space="preserve">HDE Validation </w:t>
            </w:r>
            <w:r w:rsidRPr="0089283A">
              <w:rPr>
                <w:b w:val="0"/>
              </w:rPr>
              <w:t>(Check if “</w:t>
            </w:r>
            <w:r w:rsidRPr="0089283A">
              <w:t>Yes</w:t>
            </w:r>
            <w:r w:rsidRPr="0089283A">
              <w:rPr>
                <w:b w:val="0"/>
              </w:rPr>
              <w:t>”.  Must be “</w:t>
            </w:r>
            <w:r w:rsidRPr="0089283A">
              <w:t>Yes</w:t>
            </w:r>
            <w:r w:rsidRPr="0089283A">
              <w:rPr>
                <w:b w:val="0"/>
              </w:rPr>
              <w:t>” for HDE to be validated</w:t>
            </w:r>
            <w:r>
              <w:rPr>
                <w:b w:val="0"/>
              </w:rPr>
              <w:t>.</w:t>
            </w:r>
            <w:r w:rsidRPr="0089283A">
              <w:rPr>
                <w:b w:val="0"/>
              </w:rPr>
              <w:t>)</w:t>
            </w:r>
            <w:r>
              <w:rPr>
                <w:b w:val="0"/>
              </w:rPr>
              <w:t xml:space="preserve"> </w:t>
            </w:r>
          </w:p>
        </w:tc>
      </w:tr>
      <w:tr w:rsidR="00FB2CBC" w:rsidRPr="00396450" w14:paraId="3F9620EB" w14:textId="77777777" w:rsidTr="00FB2CBC">
        <w:trPr>
          <w:jc w:val="center"/>
        </w:trPr>
        <w:tc>
          <w:tcPr>
            <w:tcW w:w="805" w:type="dxa"/>
            <w:gridSpan w:val="2"/>
          </w:tcPr>
          <w:p w14:paraId="037026C5" w14:textId="6461518B" w:rsidR="00FB2CBC" w:rsidRDefault="00FB2CBC" w:rsidP="00FB2CBC">
            <w:pPr>
              <w:pStyle w:val="ChecklistLevel1"/>
              <w:numPr>
                <w:ilvl w:val="0"/>
                <w:numId w:val="0"/>
              </w:numPr>
              <w:ind w:left="720" w:hanging="720"/>
            </w:pPr>
            <w:r w:rsidRPr="00396450">
              <w:rPr>
                <w:b w:val="0"/>
              </w:rPr>
              <w:fldChar w:fldCharType="begin">
                <w:ffData>
                  <w:name w:val="Check1"/>
                  <w:enabled/>
                  <w:calcOnExit w:val="0"/>
                  <w:checkBox>
                    <w:sizeAuto/>
                    <w:default w:val="0"/>
                    <w:checked w:val="0"/>
                  </w:checkBox>
                </w:ffData>
              </w:fldChar>
            </w:r>
            <w:r w:rsidRPr="00396450">
              <w:instrText xml:space="preserve"> FORMCHECKBOX </w:instrText>
            </w:r>
            <w:r w:rsidR="0036404F">
              <w:rPr>
                <w:b w:val="0"/>
              </w:rPr>
            </w:r>
            <w:r w:rsidR="0036404F">
              <w:rPr>
                <w:b w:val="0"/>
              </w:rPr>
              <w:fldChar w:fldCharType="separate"/>
            </w:r>
            <w:r w:rsidRPr="00396450">
              <w:rPr>
                <w:b w:val="0"/>
              </w:rPr>
              <w:fldChar w:fldCharType="end"/>
            </w:r>
          </w:p>
        </w:tc>
        <w:tc>
          <w:tcPr>
            <w:tcW w:w="9985" w:type="dxa"/>
            <w:gridSpan w:val="2"/>
          </w:tcPr>
          <w:p w14:paraId="7B1068EC" w14:textId="676D80BB" w:rsidR="00FB2CBC" w:rsidRDefault="00FB2CBC" w:rsidP="00FB2CBC">
            <w:pPr>
              <w:pStyle w:val="ChecklistLevel1"/>
              <w:numPr>
                <w:ilvl w:val="0"/>
                <w:numId w:val="0"/>
              </w:numPr>
              <w:ind w:left="720" w:hanging="720"/>
            </w:pPr>
            <w:r>
              <w:t xml:space="preserve">HDE number is listed in the FDA HDE database: </w:t>
            </w:r>
            <w:hyperlink r:id="rId8" w:history="1">
              <w:r w:rsidRPr="00D00F1C">
                <w:rPr>
                  <w:rStyle w:val="Hyperlink"/>
                </w:rPr>
                <w:t>http://www.accessdata.fda.gov/scripts/cdrh/cfdocs/cfhde/hde.cfm</w:t>
              </w:r>
            </w:hyperlink>
          </w:p>
        </w:tc>
      </w:tr>
      <w:tr w:rsidR="00FB2CBC" w:rsidRPr="00396450" w14:paraId="552CB240" w14:textId="77777777" w:rsidTr="00FB2CBC">
        <w:trPr>
          <w:trHeight w:val="98"/>
          <w:jc w:val="center"/>
        </w:trPr>
        <w:tc>
          <w:tcPr>
            <w:tcW w:w="10790" w:type="dxa"/>
            <w:gridSpan w:val="4"/>
            <w:shd w:val="clear" w:color="auto" w:fill="000000" w:themeFill="text1"/>
          </w:tcPr>
          <w:p w14:paraId="004AEB2C" w14:textId="77777777" w:rsidR="00FB2CBC" w:rsidRPr="00FB2CBC" w:rsidRDefault="00FB2CBC" w:rsidP="00FB2CBC">
            <w:pPr>
              <w:pStyle w:val="ChecklistLevel1"/>
              <w:numPr>
                <w:ilvl w:val="0"/>
                <w:numId w:val="0"/>
              </w:numPr>
              <w:ind w:left="720" w:hanging="720"/>
              <w:rPr>
                <w:sz w:val="8"/>
                <w:szCs w:val="8"/>
              </w:rPr>
            </w:pPr>
          </w:p>
        </w:tc>
      </w:tr>
      <w:tr w:rsidR="00FB2CBC" w:rsidRPr="00396450" w14:paraId="55C8A0D1" w14:textId="77777777" w:rsidTr="00FB2DF4">
        <w:trPr>
          <w:jc w:val="center"/>
        </w:trPr>
        <w:tc>
          <w:tcPr>
            <w:tcW w:w="10790" w:type="dxa"/>
            <w:gridSpan w:val="4"/>
          </w:tcPr>
          <w:p w14:paraId="1A269902" w14:textId="3CDAFAE5" w:rsidR="00FB2CBC" w:rsidRPr="00FB2CBC" w:rsidRDefault="00FB2CBC" w:rsidP="00624399">
            <w:pPr>
              <w:pStyle w:val="ChecklistLevel1"/>
              <w:numPr>
                <w:ilvl w:val="0"/>
                <w:numId w:val="0"/>
              </w:numPr>
              <w:ind w:left="720" w:hanging="720"/>
              <w:rPr>
                <w:sz w:val="24"/>
              </w:rPr>
            </w:pPr>
            <w:r w:rsidRPr="00FB2CBC">
              <w:rPr>
                <w:sz w:val="24"/>
              </w:rPr>
              <w:t xml:space="preserve">Investigational </w:t>
            </w:r>
            <w:r w:rsidR="00624399">
              <w:rPr>
                <w:sz w:val="24"/>
              </w:rPr>
              <w:t>Device</w:t>
            </w:r>
            <w:r w:rsidRPr="00FB2CBC">
              <w:rPr>
                <w:sz w:val="24"/>
              </w:rPr>
              <w:t xml:space="preserve"> Exemption</w:t>
            </w:r>
          </w:p>
        </w:tc>
      </w:tr>
      <w:tr w:rsidR="002B723F" w:rsidRPr="00396450" w14:paraId="4754883B" w14:textId="77777777" w:rsidTr="00FB2DF4">
        <w:trPr>
          <w:jc w:val="center"/>
        </w:trPr>
        <w:tc>
          <w:tcPr>
            <w:tcW w:w="10790" w:type="dxa"/>
            <w:gridSpan w:val="4"/>
          </w:tcPr>
          <w:p w14:paraId="2BFDEC07" w14:textId="390A00EA" w:rsidR="002B723F" w:rsidRPr="00396450" w:rsidRDefault="0093595A" w:rsidP="00FB2CBC">
            <w:pPr>
              <w:pStyle w:val="ChecklistLevel1"/>
              <w:numPr>
                <w:ilvl w:val="0"/>
                <w:numId w:val="41"/>
              </w:numPr>
            </w:pPr>
            <w:r w:rsidRPr="00396450">
              <w:t>Device Applicability</w:t>
            </w:r>
            <w:r w:rsidR="00C36582" w:rsidRPr="00FB2CBC">
              <w:rPr>
                <w:b w:val="0"/>
              </w:rPr>
              <w:t xml:space="preserve"> </w:t>
            </w:r>
            <w:r w:rsidR="00AB6B0A" w:rsidRPr="00FB2CBC">
              <w:rPr>
                <w:b w:val="0"/>
              </w:rPr>
              <w:t xml:space="preserve">(Check if </w:t>
            </w:r>
            <w:r w:rsidR="00AB6B0A">
              <w:t>“Yes”</w:t>
            </w:r>
            <w:r w:rsidR="00AB6B0A" w:rsidRPr="00FB2CBC">
              <w:rPr>
                <w:b w:val="0"/>
              </w:rPr>
              <w:t xml:space="preserve">. </w:t>
            </w:r>
            <w:r w:rsidR="00C36582" w:rsidRPr="00FB2CBC">
              <w:rPr>
                <w:b w:val="0"/>
              </w:rPr>
              <w:t>If either is</w:t>
            </w:r>
            <w:r w:rsidR="000358C1" w:rsidRPr="00FB2CBC">
              <w:rPr>
                <w:b w:val="0"/>
              </w:rPr>
              <w:t xml:space="preserve"> </w:t>
            </w:r>
            <w:r w:rsidR="00AB6B0A">
              <w:t xml:space="preserve">“Yes” </w:t>
            </w:r>
            <w:proofErr w:type="gramStart"/>
            <w:r w:rsidR="00797040" w:rsidRPr="00FB2CBC">
              <w:rPr>
                <w:b w:val="0"/>
              </w:rPr>
              <w:t>use</w:t>
            </w:r>
            <w:proofErr w:type="gramEnd"/>
            <w:r w:rsidR="000358C1" w:rsidRPr="00FB2CBC">
              <w:rPr>
                <w:b w:val="0"/>
              </w:rPr>
              <w:t xml:space="preserve"> the </w:t>
            </w:r>
            <w:r w:rsidR="00AB6B0A" w:rsidRPr="00FB2CBC">
              <w:rPr>
                <w:b w:val="0"/>
              </w:rPr>
              <w:t>rest</w:t>
            </w:r>
            <w:r w:rsidR="000358C1" w:rsidRPr="00FB2CBC">
              <w:rPr>
                <w:b w:val="0"/>
              </w:rPr>
              <w:t xml:space="preserve"> of the </w:t>
            </w:r>
            <w:r w:rsidR="00797040" w:rsidRPr="00FB2CBC">
              <w:rPr>
                <w:b w:val="0"/>
              </w:rPr>
              <w:t>worksheet</w:t>
            </w:r>
            <w:r w:rsidR="000358C1" w:rsidRPr="00FB2CBC">
              <w:rPr>
                <w:b w:val="0"/>
              </w:rPr>
              <w:t xml:space="preserve">. </w:t>
            </w:r>
            <w:r w:rsidR="00AB6B0A" w:rsidRPr="00FB2CBC">
              <w:rPr>
                <w:b w:val="0"/>
              </w:rPr>
              <w:t>Otherwise</w:t>
            </w:r>
            <w:r w:rsidR="000358C1" w:rsidRPr="00FB2CBC">
              <w:rPr>
                <w:b w:val="0"/>
              </w:rPr>
              <w:t xml:space="preserve"> FDA </w:t>
            </w:r>
            <w:r w:rsidR="00D05D14" w:rsidRPr="00FB2CBC">
              <w:rPr>
                <w:b w:val="0"/>
              </w:rPr>
              <w:t xml:space="preserve">IDE </w:t>
            </w:r>
            <w:r w:rsidR="000358C1" w:rsidRPr="00FB2CBC">
              <w:rPr>
                <w:b w:val="0"/>
              </w:rPr>
              <w:t>regulations do not apply.</w:t>
            </w:r>
            <w:r w:rsidR="007963BF" w:rsidRPr="00FB2CBC">
              <w:rPr>
                <w:b w:val="0"/>
              </w:rPr>
              <w:t>)</w:t>
            </w:r>
          </w:p>
        </w:tc>
      </w:tr>
      <w:tr w:rsidR="001B5FE2" w:rsidRPr="00396450" w14:paraId="10A68DEA" w14:textId="77777777" w:rsidTr="00FB2DF4">
        <w:tblPrEx>
          <w:tblCellMar>
            <w:left w:w="115" w:type="dxa"/>
            <w:right w:w="115" w:type="dxa"/>
          </w:tblCellMar>
        </w:tblPrEx>
        <w:trPr>
          <w:cantSplit/>
          <w:jc w:val="center"/>
        </w:trPr>
        <w:tc>
          <w:tcPr>
            <w:tcW w:w="791" w:type="dxa"/>
          </w:tcPr>
          <w:p w14:paraId="10FB2869" w14:textId="2E836B10" w:rsidR="001B5FE2" w:rsidRPr="00396450" w:rsidRDefault="001B5FE2" w:rsidP="00AB6B0A">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0E4A09FB" w14:textId="77777777"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14:paraId="496DA0C0" w14:textId="0EB9F213" w:rsidR="001B5FE2" w:rsidRPr="00F361A6" w:rsidRDefault="001B5FE2" w:rsidP="00F17BE2">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0" w:name="Check8"/>
            <w:r w:rsidRPr="00F361A6">
              <w:rPr>
                <w:rFonts w:cs="Arial Narrow"/>
              </w:rPr>
              <w:instrText xml:space="preserve"> FORMCHECKBOX </w:instrText>
            </w:r>
            <w:r w:rsidR="0036404F">
              <w:rPr>
                <w:rFonts w:cs="Arial Narrow"/>
              </w:rPr>
            </w:r>
            <w:r w:rsidR="0036404F">
              <w:rPr>
                <w:rFonts w:cs="Arial Narrow"/>
              </w:rPr>
              <w:fldChar w:fldCharType="separate"/>
            </w:r>
            <w:r w:rsidRPr="00F361A6">
              <w:rPr>
                <w:rFonts w:cs="Arial Narrow"/>
              </w:rPr>
              <w:fldChar w:fldCharType="end"/>
            </w:r>
            <w:bookmarkEnd w:id="0"/>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1"/>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14:paraId="0DBCB2EE" w14:textId="7100DA22" w:rsidR="001B5FE2" w:rsidRPr="00F361A6" w:rsidRDefault="001B5FE2" w:rsidP="00F17BE2">
            <w:pPr>
              <w:pStyle w:val="StatementLevel2"/>
              <w:ind w:left="253" w:hanging="253"/>
            </w:pPr>
            <w:r w:rsidRPr="00F361A6">
              <w:fldChar w:fldCharType="begin">
                <w:ffData>
                  <w:name w:val="Check4"/>
                  <w:enabled/>
                  <w:calcOnExit w:val="0"/>
                  <w:checkBox>
                    <w:sizeAuto/>
                    <w:default w:val="0"/>
                  </w:checkBox>
                </w:ffData>
              </w:fldChar>
            </w:r>
            <w:bookmarkStart w:id="1" w:name="Check4"/>
            <w:r w:rsidRPr="00F361A6">
              <w:instrText xml:space="preserve"> FORMCHECKBOX </w:instrText>
            </w:r>
            <w:r w:rsidR="0036404F">
              <w:fldChar w:fldCharType="separate"/>
            </w:r>
            <w:r w:rsidRPr="00F361A6">
              <w:fldChar w:fldCharType="end"/>
            </w:r>
            <w:bookmarkEnd w:id="1"/>
            <w:r w:rsidRPr="00F361A6">
              <w:t xml:space="preserve"> Data regarding subjects or control subjects submitted to or held for inspection by FDA</w:t>
            </w:r>
            <w:r>
              <w:rPr>
                <w:rStyle w:val="EndnoteReference"/>
              </w:rPr>
              <w:endnoteReference w:id="2"/>
            </w:r>
            <w:r>
              <w:t>.</w:t>
            </w:r>
          </w:p>
          <w:p w14:paraId="1B290B63" w14:textId="1D7399DB" w:rsidR="001B5FE2" w:rsidRPr="00F361A6" w:rsidRDefault="001B5FE2" w:rsidP="00F17BE2">
            <w:pPr>
              <w:pStyle w:val="StatementLevel2"/>
              <w:ind w:left="253" w:hanging="253"/>
            </w:pPr>
            <w:r w:rsidRPr="00F361A6">
              <w:fldChar w:fldCharType="begin">
                <w:ffData>
                  <w:name w:val="Check5"/>
                  <w:enabled/>
                  <w:calcOnExit w:val="0"/>
                  <w:checkBox>
                    <w:sizeAuto/>
                    <w:default w:val="0"/>
                  </w:checkBox>
                </w:ffData>
              </w:fldChar>
            </w:r>
            <w:bookmarkStart w:id="2" w:name="Check5"/>
            <w:r w:rsidRPr="00F361A6">
              <w:instrText xml:space="preserve"> FORMCHECKBOX </w:instrText>
            </w:r>
            <w:r w:rsidR="0036404F">
              <w:fldChar w:fldCharType="separate"/>
            </w:r>
            <w:r w:rsidRPr="00F361A6">
              <w:fldChar w:fldCharType="end"/>
            </w:r>
            <w:bookmarkEnd w:id="2"/>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3"/>
            </w:r>
            <w:r w:rsidRPr="00F361A6">
              <w:t>.</w:t>
            </w:r>
          </w:p>
        </w:tc>
      </w:tr>
      <w:tr w:rsidR="00DF2950" w:rsidRPr="00396450" w14:paraId="26B255CA" w14:textId="77777777" w:rsidTr="00FB2DF4">
        <w:trPr>
          <w:trHeight w:hRule="exact" w:val="72"/>
          <w:jc w:val="center"/>
        </w:trPr>
        <w:tc>
          <w:tcPr>
            <w:tcW w:w="10790" w:type="dxa"/>
            <w:gridSpan w:val="4"/>
            <w:shd w:val="clear" w:color="auto" w:fill="000000"/>
          </w:tcPr>
          <w:p w14:paraId="7BAC93E3" w14:textId="77777777" w:rsidR="00DF2950" w:rsidRPr="00396450" w:rsidRDefault="00DF2950" w:rsidP="008F58EE">
            <w:pPr>
              <w:rPr>
                <w:sz w:val="10"/>
                <w:szCs w:val="10"/>
              </w:rPr>
            </w:pPr>
          </w:p>
        </w:tc>
      </w:tr>
      <w:tr w:rsidR="00DF2950" w:rsidRPr="00396450" w14:paraId="54AF6CEF" w14:textId="77777777" w:rsidTr="00FB2DF4">
        <w:trPr>
          <w:jc w:val="center"/>
        </w:trPr>
        <w:tc>
          <w:tcPr>
            <w:tcW w:w="10790" w:type="dxa"/>
            <w:gridSpan w:val="4"/>
          </w:tcPr>
          <w:p w14:paraId="2291F6A2" w14:textId="3B1B4D22" w:rsidR="00DF2950" w:rsidRPr="00396450" w:rsidRDefault="0093595A" w:rsidP="006C1E27">
            <w:pPr>
              <w:pStyle w:val="ChecklistLevel1"/>
            </w:pPr>
            <w:r w:rsidRPr="00396450">
              <w:t>IDE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 information is not complete.)</w:t>
            </w:r>
          </w:p>
        </w:tc>
      </w:tr>
      <w:tr w:rsidR="00AB6B0A" w:rsidRPr="00396450" w14:paraId="42D1BD00" w14:textId="77777777" w:rsidTr="00FB2DF4">
        <w:tblPrEx>
          <w:tblCellMar>
            <w:left w:w="115" w:type="dxa"/>
            <w:right w:w="115" w:type="dxa"/>
          </w:tblCellMar>
        </w:tblPrEx>
        <w:trPr>
          <w:cantSplit/>
          <w:jc w:val="center"/>
        </w:trPr>
        <w:tc>
          <w:tcPr>
            <w:tcW w:w="791" w:type="dxa"/>
          </w:tcPr>
          <w:p w14:paraId="68F2DC9F" w14:textId="38B2D6BE"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4806AAC2" w14:textId="31ECD561" w:rsidR="00AB6B0A" w:rsidRPr="00396450" w:rsidRDefault="00AB6B0A" w:rsidP="00761E9E">
            <w:pPr>
              <w:pStyle w:val="StatementLevel1"/>
            </w:pPr>
            <w:r w:rsidRPr="00396450">
              <w:t>The device has an IDE (Complete Section 3</w:t>
            </w:r>
            <w:r w:rsidR="00D05D14">
              <w:t>)</w:t>
            </w:r>
            <w:r w:rsidRPr="00396450">
              <w:t xml:space="preserve"> </w:t>
            </w:r>
          </w:p>
        </w:tc>
      </w:tr>
      <w:tr w:rsidR="00AB6B0A" w:rsidRPr="00396450" w14:paraId="73A552ED" w14:textId="77777777" w:rsidTr="00FB2DF4">
        <w:tblPrEx>
          <w:tblCellMar>
            <w:left w:w="115" w:type="dxa"/>
            <w:right w:w="115" w:type="dxa"/>
          </w:tblCellMar>
        </w:tblPrEx>
        <w:trPr>
          <w:cantSplit/>
          <w:jc w:val="center"/>
        </w:trPr>
        <w:tc>
          <w:tcPr>
            <w:tcW w:w="791" w:type="dxa"/>
          </w:tcPr>
          <w:p w14:paraId="034C91C1" w14:textId="4DEDAC30"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2B804A0B" w14:textId="7B2E2D57" w:rsidR="00AB6B0A" w:rsidRPr="00396450" w:rsidRDefault="00AB6B0A" w:rsidP="00584F51">
            <w:pPr>
              <w:pStyle w:val="StatementLevel1"/>
            </w:pPr>
            <w:r w:rsidRPr="00396450">
              <w:t>The device qualifies for an abbr</w:t>
            </w:r>
            <w:r w:rsidR="0089283A">
              <w:t xml:space="preserve">eviated IDE. (Complete Section </w:t>
            </w:r>
            <w:r w:rsidR="00D019D1">
              <w:t>4</w:t>
            </w:r>
            <w:r w:rsidR="0089283A">
              <w:t xml:space="preserve"> and</w:t>
            </w:r>
            <w:r w:rsidR="00D019D1">
              <w:t xml:space="preserve"> 5</w:t>
            </w:r>
            <w:r w:rsidRPr="00396450">
              <w:t>)</w:t>
            </w:r>
          </w:p>
        </w:tc>
      </w:tr>
      <w:tr w:rsidR="00AB6B0A" w:rsidRPr="00396450" w14:paraId="265DB89B" w14:textId="77777777" w:rsidTr="00FB2DF4">
        <w:trPr>
          <w:jc w:val="center"/>
        </w:trPr>
        <w:tc>
          <w:tcPr>
            <w:tcW w:w="791" w:type="dxa"/>
          </w:tcPr>
          <w:p w14:paraId="286B3128" w14:textId="65071292"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3349841A" w14:textId="358E61AF" w:rsidR="00AB6B0A" w:rsidRPr="00396450" w:rsidRDefault="00AB6B0A" w:rsidP="00584F51">
            <w:pPr>
              <w:pStyle w:val="StatementLevel1"/>
            </w:pPr>
            <w:r w:rsidRPr="00396450">
              <w:t>The device is exempt from the IDE requirements</w:t>
            </w:r>
            <w:r w:rsidR="0089283A">
              <w:t xml:space="preserve">. (Complete Section </w:t>
            </w:r>
            <w:r w:rsidR="00D019D1">
              <w:t>6</w:t>
            </w:r>
            <w:r w:rsidRPr="00396450">
              <w:t>)</w:t>
            </w:r>
          </w:p>
        </w:tc>
      </w:tr>
      <w:tr w:rsidR="00DF2950" w:rsidRPr="00396450" w14:paraId="68C1946D" w14:textId="77777777" w:rsidTr="00FB2DF4">
        <w:tblPrEx>
          <w:shd w:val="clear" w:color="auto" w:fill="000000"/>
        </w:tblPrEx>
        <w:trPr>
          <w:trHeight w:hRule="exact" w:val="72"/>
          <w:jc w:val="center"/>
        </w:trPr>
        <w:tc>
          <w:tcPr>
            <w:tcW w:w="10790" w:type="dxa"/>
            <w:gridSpan w:val="4"/>
            <w:shd w:val="clear" w:color="auto" w:fill="000000"/>
          </w:tcPr>
          <w:p w14:paraId="747FE002" w14:textId="77777777" w:rsidR="00DF2950" w:rsidRPr="00396450" w:rsidRDefault="00DF2950" w:rsidP="008F58EE">
            <w:pPr>
              <w:rPr>
                <w:sz w:val="10"/>
                <w:szCs w:val="10"/>
              </w:rPr>
            </w:pPr>
          </w:p>
        </w:tc>
      </w:tr>
      <w:tr w:rsidR="00DF2950" w:rsidRPr="00396450" w14:paraId="6231C77E" w14:textId="77777777" w:rsidTr="00FB2DF4">
        <w:trPr>
          <w:jc w:val="center"/>
        </w:trPr>
        <w:tc>
          <w:tcPr>
            <w:tcW w:w="10790" w:type="dxa"/>
            <w:gridSpan w:val="4"/>
          </w:tcPr>
          <w:p w14:paraId="6568026C" w14:textId="13C6F4B8" w:rsidR="00DF2950" w:rsidRPr="00396450" w:rsidRDefault="0093595A" w:rsidP="000B35A6">
            <w:pPr>
              <w:pStyle w:val="ChecklistLevel1"/>
            </w:pPr>
            <w:r w:rsidRPr="00396450">
              <w:t>IDE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 cannot be validated.)</w:t>
            </w:r>
          </w:p>
        </w:tc>
      </w:tr>
      <w:tr w:rsidR="00AB6B0A" w:rsidRPr="00396450" w14:paraId="10CC5EF0" w14:textId="77777777" w:rsidTr="00FB2DF4">
        <w:tblPrEx>
          <w:tblCellMar>
            <w:left w:w="115" w:type="dxa"/>
            <w:right w:w="115" w:type="dxa"/>
          </w:tblCellMar>
        </w:tblPrEx>
        <w:trPr>
          <w:cantSplit/>
          <w:jc w:val="center"/>
        </w:trPr>
        <w:tc>
          <w:tcPr>
            <w:tcW w:w="791" w:type="dxa"/>
          </w:tcPr>
          <w:p w14:paraId="2ABF19F2" w14:textId="17677B9A"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00532558" w14:textId="52A6DFFB" w:rsidR="00AB6B0A" w:rsidRPr="00396450" w:rsidRDefault="00AB6B0A" w:rsidP="00584F51">
            <w:pPr>
              <w:pStyle w:val="StatementLevel1"/>
            </w:pPr>
            <w:r w:rsidRPr="00396450">
              <w:t xml:space="preserve">Sponsor protocol imprinted with the IDE number. </w:t>
            </w:r>
          </w:p>
        </w:tc>
      </w:tr>
      <w:tr w:rsidR="00AB6B0A" w:rsidRPr="00396450" w14:paraId="0DFCFD6B" w14:textId="77777777" w:rsidTr="00FB2DF4">
        <w:tblPrEx>
          <w:tblCellMar>
            <w:left w:w="115" w:type="dxa"/>
            <w:right w:w="115" w:type="dxa"/>
          </w:tblCellMar>
        </w:tblPrEx>
        <w:trPr>
          <w:cantSplit/>
          <w:jc w:val="center"/>
        </w:trPr>
        <w:tc>
          <w:tcPr>
            <w:tcW w:w="791" w:type="dxa"/>
          </w:tcPr>
          <w:p w14:paraId="0B62D8FC" w14:textId="547DBED5"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6A2AFB71" w14:textId="66EB6F4E" w:rsidR="00AB6B0A" w:rsidRPr="00396450" w:rsidRDefault="00AB6B0A" w:rsidP="00584F51">
            <w:pPr>
              <w:pStyle w:val="StatementLevel1"/>
            </w:pPr>
            <w:r w:rsidRPr="00396450">
              <w:t xml:space="preserve">Written communication from the </w:t>
            </w:r>
            <w:r w:rsidR="000F3814">
              <w:t xml:space="preserve">industry </w:t>
            </w:r>
            <w:r w:rsidRPr="00396450">
              <w:t>sponsor documenting the IDE number.</w:t>
            </w:r>
          </w:p>
        </w:tc>
      </w:tr>
      <w:tr w:rsidR="00AB6B0A" w:rsidRPr="00396450" w14:paraId="2D81E87B" w14:textId="77777777" w:rsidTr="00FB2DF4">
        <w:tblPrEx>
          <w:tblCellMar>
            <w:left w:w="115" w:type="dxa"/>
            <w:right w:w="115" w:type="dxa"/>
          </w:tblCellMar>
        </w:tblPrEx>
        <w:trPr>
          <w:cantSplit/>
          <w:jc w:val="center"/>
        </w:trPr>
        <w:tc>
          <w:tcPr>
            <w:tcW w:w="791" w:type="dxa"/>
            <w:tcBorders>
              <w:bottom w:val="single" w:sz="36" w:space="0" w:color="auto"/>
            </w:tcBorders>
          </w:tcPr>
          <w:p w14:paraId="3D92B5FB" w14:textId="0F9C5DBD"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Borders>
              <w:bottom w:val="single" w:sz="36" w:space="0" w:color="auto"/>
            </w:tcBorders>
          </w:tcPr>
          <w:p w14:paraId="405C3C4B" w14:textId="0CF2A339" w:rsidR="00AB6B0A" w:rsidRPr="00396450" w:rsidRDefault="00AB6B0A" w:rsidP="00584F51">
            <w:pPr>
              <w:pStyle w:val="StatementLevel1"/>
            </w:pPr>
            <w:r w:rsidRPr="00396450">
              <w:t xml:space="preserve">Written communication from the FDA documenting the IDE number. </w:t>
            </w:r>
            <w:r w:rsidRPr="00396450">
              <w:rPr>
                <w:i/>
              </w:rPr>
              <w:t>(Required if the investigator</w:t>
            </w:r>
            <w:r w:rsidR="000F3814">
              <w:rPr>
                <w:i/>
              </w:rPr>
              <w:t xml:space="preserve"> or UMN</w:t>
            </w:r>
            <w:r w:rsidRPr="00396450">
              <w:rPr>
                <w:i/>
              </w:rPr>
              <w:t xml:space="preserve"> holds the IDE.)</w:t>
            </w:r>
          </w:p>
        </w:tc>
      </w:tr>
      <w:tr w:rsidR="00DF2950" w:rsidRPr="00396450" w14:paraId="54AEDF46" w14:textId="77777777" w:rsidTr="00FB2DF4">
        <w:tblPrEx>
          <w:shd w:val="clear" w:color="auto" w:fill="000000"/>
        </w:tblPrEx>
        <w:trPr>
          <w:trHeight w:hRule="exact" w:val="72"/>
          <w:jc w:val="center"/>
        </w:trPr>
        <w:tc>
          <w:tcPr>
            <w:tcW w:w="10790" w:type="dxa"/>
            <w:gridSpan w:val="4"/>
            <w:shd w:val="clear" w:color="auto" w:fill="000000"/>
          </w:tcPr>
          <w:p w14:paraId="6BC08B5A" w14:textId="77777777" w:rsidR="00DF2950" w:rsidRPr="00396450" w:rsidRDefault="00DF2950" w:rsidP="008F58EE">
            <w:pPr>
              <w:rPr>
                <w:sz w:val="10"/>
                <w:szCs w:val="10"/>
              </w:rPr>
            </w:pPr>
          </w:p>
        </w:tc>
      </w:tr>
      <w:tr w:rsidR="00DF2950" w:rsidRPr="00396450" w14:paraId="64BC0018" w14:textId="77777777" w:rsidTr="00FB2DF4">
        <w:trPr>
          <w:jc w:val="center"/>
        </w:trPr>
        <w:tc>
          <w:tcPr>
            <w:tcW w:w="10790" w:type="dxa"/>
            <w:gridSpan w:val="4"/>
          </w:tcPr>
          <w:p w14:paraId="53B869B4" w14:textId="29BAB711" w:rsidR="00DF2950" w:rsidRPr="00396450" w:rsidRDefault="00D05D14" w:rsidP="008F58EE">
            <w:pPr>
              <w:pStyle w:val="ChecklistLevel1"/>
            </w:pPr>
            <w:r>
              <w:t xml:space="preserve">IDE </w:t>
            </w:r>
            <w:r w:rsidR="0093595A"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14:paraId="5EB5120B" w14:textId="77777777" w:rsidTr="00FB2DF4">
        <w:tblPrEx>
          <w:tblCellMar>
            <w:left w:w="115" w:type="dxa"/>
            <w:right w:w="115" w:type="dxa"/>
          </w:tblCellMar>
        </w:tblPrEx>
        <w:trPr>
          <w:cantSplit/>
          <w:jc w:val="center"/>
        </w:trPr>
        <w:tc>
          <w:tcPr>
            <w:tcW w:w="791" w:type="dxa"/>
          </w:tcPr>
          <w:p w14:paraId="1B5C9387" w14:textId="291117EF"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499470B8" w14:textId="77777777"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14:paraId="0EB788CE" w14:textId="77777777" w:rsidTr="00FB2DF4">
        <w:tblPrEx>
          <w:shd w:val="clear" w:color="auto" w:fill="000000"/>
        </w:tblPrEx>
        <w:trPr>
          <w:trHeight w:hRule="exact" w:val="72"/>
          <w:jc w:val="center"/>
        </w:trPr>
        <w:tc>
          <w:tcPr>
            <w:tcW w:w="10790" w:type="dxa"/>
            <w:gridSpan w:val="4"/>
            <w:shd w:val="clear" w:color="auto" w:fill="000000"/>
          </w:tcPr>
          <w:p w14:paraId="6382099C" w14:textId="77777777" w:rsidR="00DF2950" w:rsidRPr="00396450" w:rsidRDefault="00DF2950" w:rsidP="008F58EE">
            <w:pPr>
              <w:rPr>
                <w:sz w:val="10"/>
                <w:szCs w:val="10"/>
              </w:rPr>
            </w:pPr>
          </w:p>
        </w:tc>
      </w:tr>
      <w:tr w:rsidR="00DF2950" w:rsidRPr="00396450" w14:paraId="78E3AC2B" w14:textId="77777777" w:rsidTr="00FB2DF4">
        <w:trPr>
          <w:jc w:val="center"/>
        </w:trPr>
        <w:tc>
          <w:tcPr>
            <w:tcW w:w="10790" w:type="dxa"/>
            <w:gridSpan w:val="4"/>
          </w:tcPr>
          <w:p w14:paraId="3208063A" w14:textId="77777777"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AB6B0A" w:rsidRPr="00396450" w14:paraId="3E739DAE" w14:textId="77777777" w:rsidTr="00FB2DF4">
        <w:tblPrEx>
          <w:tblCellMar>
            <w:left w:w="115" w:type="dxa"/>
            <w:right w:w="115" w:type="dxa"/>
          </w:tblCellMar>
        </w:tblPrEx>
        <w:trPr>
          <w:cantSplit/>
          <w:jc w:val="center"/>
        </w:trPr>
        <w:tc>
          <w:tcPr>
            <w:tcW w:w="791" w:type="dxa"/>
          </w:tcPr>
          <w:p w14:paraId="5150EA4D" w14:textId="39E0A328"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28396F67" w14:textId="77777777" w:rsidR="00AB6B0A" w:rsidRPr="00396450" w:rsidRDefault="00AB6B0A" w:rsidP="00FF2B82">
            <w:pPr>
              <w:pStyle w:val="StatementLevel1"/>
            </w:pPr>
            <w:r w:rsidRPr="00396450">
              <w:t>The device is not banned by the FDA.</w:t>
            </w:r>
          </w:p>
        </w:tc>
      </w:tr>
      <w:tr w:rsidR="00AB6B0A" w:rsidRPr="00396450" w14:paraId="0192CCBF" w14:textId="77777777" w:rsidTr="00FB2DF4">
        <w:tblPrEx>
          <w:tblCellMar>
            <w:left w:w="115" w:type="dxa"/>
            <w:right w:w="115" w:type="dxa"/>
          </w:tblCellMar>
        </w:tblPrEx>
        <w:trPr>
          <w:cantSplit/>
          <w:jc w:val="center"/>
        </w:trPr>
        <w:tc>
          <w:tcPr>
            <w:tcW w:w="791" w:type="dxa"/>
          </w:tcPr>
          <w:p w14:paraId="7474FF30" w14:textId="2147DD61"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476ED29E" w14:textId="77777777" w:rsidR="00AB6B0A" w:rsidRPr="00396450" w:rsidRDefault="00AB6B0A" w:rsidP="00584F51">
            <w:pPr>
              <w:pStyle w:val="StatementLevel1"/>
            </w:pPr>
            <w:r w:rsidRPr="00396450">
              <w:t>The investigator will label the device in accordance with FDA regulations. (21 CFR §812.5)</w:t>
            </w:r>
          </w:p>
        </w:tc>
      </w:tr>
      <w:tr w:rsidR="00AB6B0A" w:rsidRPr="00396450" w14:paraId="1CE7393E" w14:textId="77777777" w:rsidTr="00FB2DF4">
        <w:tblPrEx>
          <w:tblCellMar>
            <w:left w:w="115" w:type="dxa"/>
            <w:right w:w="115" w:type="dxa"/>
          </w:tblCellMar>
        </w:tblPrEx>
        <w:trPr>
          <w:cantSplit/>
          <w:jc w:val="center"/>
        </w:trPr>
        <w:tc>
          <w:tcPr>
            <w:tcW w:w="791" w:type="dxa"/>
          </w:tcPr>
          <w:p w14:paraId="77C56A97" w14:textId="13E07441"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6B970D54" w14:textId="77777777"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14:paraId="0279F769" w14:textId="77777777" w:rsidTr="00FB2DF4">
        <w:trPr>
          <w:jc w:val="center"/>
        </w:trPr>
        <w:tc>
          <w:tcPr>
            <w:tcW w:w="791" w:type="dxa"/>
          </w:tcPr>
          <w:p w14:paraId="6D8BBE63" w14:textId="2790FA5A"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2513C504" w14:textId="2B18912E" w:rsidR="00AB6B0A" w:rsidRPr="00396450" w:rsidRDefault="00AB6B0A" w:rsidP="00584F51">
            <w:pPr>
              <w:pStyle w:val="StatementLevel1"/>
            </w:pPr>
            <w:r w:rsidRPr="00396450">
              <w:t xml:space="preserve">The </w:t>
            </w:r>
            <w:r w:rsidR="00B04DC0">
              <w:t xml:space="preserve">sponsor or the sponsor-investigator </w:t>
            </w:r>
            <w:r w:rsidRPr="00396450">
              <w:t>will comply with FDA requirements for monitoring investigations. (21 CFR §812.</w:t>
            </w:r>
            <w:r w:rsidR="00B04DC0">
              <w:t xml:space="preserve">40, 21 CFR </w:t>
            </w:r>
            <w:r w:rsidR="00B04DC0" w:rsidRPr="00396450">
              <w:t>§</w:t>
            </w:r>
            <w:r w:rsidR="00B04DC0">
              <w:t xml:space="preserve">812.43(d), 21 CFR </w:t>
            </w:r>
            <w:r w:rsidR="00B04DC0" w:rsidRPr="00396450">
              <w:t>§</w:t>
            </w:r>
            <w:r w:rsidR="00B04DC0">
              <w:t xml:space="preserve">812.46 </w:t>
            </w:r>
            <w:r w:rsidRPr="00396450">
              <w:t>)</w:t>
            </w:r>
          </w:p>
        </w:tc>
      </w:tr>
      <w:tr w:rsidR="00AB6B0A" w:rsidRPr="00396450" w14:paraId="0C751D32" w14:textId="77777777" w:rsidTr="00FB2DF4">
        <w:trPr>
          <w:jc w:val="center"/>
        </w:trPr>
        <w:tc>
          <w:tcPr>
            <w:tcW w:w="791" w:type="dxa"/>
          </w:tcPr>
          <w:p w14:paraId="1C15192A" w14:textId="79367FF6"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70732591" w14:textId="77777777"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14:paraId="3D0AE125" w14:textId="77777777" w:rsidTr="00FB2DF4">
        <w:trPr>
          <w:jc w:val="center"/>
        </w:trPr>
        <w:tc>
          <w:tcPr>
            <w:tcW w:w="791" w:type="dxa"/>
          </w:tcPr>
          <w:p w14:paraId="03EDC1D6" w14:textId="07D4DE3E"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5331EAD5" w14:textId="77777777" w:rsidR="00AB6B0A" w:rsidRPr="00396450" w:rsidRDefault="00AB6B0A" w:rsidP="00584F51">
            <w:pPr>
              <w:pStyle w:val="StatementLevel1"/>
            </w:pPr>
            <w:r w:rsidRPr="00396450">
              <w:t>The investigator will not market or promote the device. (21 CFR §812.7)</w:t>
            </w:r>
          </w:p>
        </w:tc>
      </w:tr>
      <w:tr w:rsidR="00865C42" w:rsidRPr="00396450" w14:paraId="7E526E02" w14:textId="77777777" w:rsidTr="00FB2DF4">
        <w:tblPrEx>
          <w:shd w:val="clear" w:color="auto" w:fill="000000"/>
        </w:tblPrEx>
        <w:trPr>
          <w:trHeight w:hRule="exact" w:val="72"/>
          <w:jc w:val="center"/>
        </w:trPr>
        <w:tc>
          <w:tcPr>
            <w:tcW w:w="10790" w:type="dxa"/>
            <w:gridSpan w:val="4"/>
            <w:shd w:val="clear" w:color="auto" w:fill="000000"/>
          </w:tcPr>
          <w:p w14:paraId="656C1444" w14:textId="77777777" w:rsidR="00865C42" w:rsidRPr="00396450" w:rsidRDefault="00865C42" w:rsidP="008F58EE">
            <w:pPr>
              <w:rPr>
                <w:sz w:val="10"/>
                <w:szCs w:val="10"/>
              </w:rPr>
            </w:pPr>
          </w:p>
        </w:tc>
      </w:tr>
      <w:tr w:rsidR="00865C42" w:rsidRPr="00396450" w14:paraId="04AB913E" w14:textId="77777777" w:rsidTr="00FB2DF4">
        <w:trPr>
          <w:jc w:val="center"/>
        </w:trPr>
        <w:tc>
          <w:tcPr>
            <w:tcW w:w="10790" w:type="dxa"/>
            <w:gridSpan w:val="4"/>
          </w:tcPr>
          <w:p w14:paraId="3B5345DA" w14:textId="77777777"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14:paraId="3A6E85F0" w14:textId="77777777" w:rsidTr="00FB2DF4">
        <w:tblPrEx>
          <w:shd w:val="clear" w:color="auto" w:fill="000000"/>
        </w:tblPrEx>
        <w:trPr>
          <w:trHeight w:hRule="exact" w:val="72"/>
          <w:jc w:val="center"/>
        </w:trPr>
        <w:tc>
          <w:tcPr>
            <w:tcW w:w="10790" w:type="dxa"/>
            <w:gridSpan w:val="4"/>
            <w:shd w:val="clear" w:color="auto" w:fill="000000"/>
          </w:tcPr>
          <w:p w14:paraId="44EFB138" w14:textId="77777777" w:rsidR="00865C42" w:rsidRPr="00396450" w:rsidRDefault="00865C42" w:rsidP="008F58EE">
            <w:pPr>
              <w:rPr>
                <w:sz w:val="10"/>
                <w:szCs w:val="10"/>
              </w:rPr>
            </w:pPr>
          </w:p>
        </w:tc>
      </w:tr>
      <w:tr w:rsidR="00AB6B0A" w:rsidRPr="00396450" w14:paraId="63F8F563" w14:textId="77777777" w:rsidTr="00FB2DF4">
        <w:tblPrEx>
          <w:tblCellMar>
            <w:left w:w="115" w:type="dxa"/>
            <w:right w:w="115" w:type="dxa"/>
          </w:tblCellMar>
        </w:tblPrEx>
        <w:trPr>
          <w:cantSplit/>
          <w:jc w:val="center"/>
        </w:trPr>
        <w:tc>
          <w:tcPr>
            <w:tcW w:w="805" w:type="dxa"/>
            <w:gridSpan w:val="2"/>
            <w:vMerge w:val="restart"/>
            <w:textDirection w:val="btLr"/>
          </w:tcPr>
          <w:p w14:paraId="3D1524CD" w14:textId="77777777" w:rsidR="00AB6B0A" w:rsidRPr="00396450" w:rsidRDefault="00AB6B0A" w:rsidP="00E74D8B">
            <w:pPr>
              <w:pStyle w:val="ChecklistTableHeader"/>
              <w:rPr>
                <w:rStyle w:val="ChecklistLeader"/>
                <w:b/>
                <w:sz w:val="20"/>
              </w:rPr>
            </w:pPr>
            <w:r w:rsidRPr="00396450">
              <w:rPr>
                <w:rStyle w:val="ChecklistLeader"/>
                <w:b/>
                <w:sz w:val="20"/>
              </w:rPr>
              <w:t>Cat. #1</w:t>
            </w:r>
          </w:p>
        </w:tc>
        <w:tc>
          <w:tcPr>
            <w:tcW w:w="492" w:type="dxa"/>
            <w:vAlign w:val="center"/>
          </w:tcPr>
          <w:p w14:paraId="6F31936D" w14:textId="274A743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5BF1BD53" w14:textId="77777777"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14:paraId="6B31CDDF" w14:textId="77777777" w:rsidTr="00FB2DF4">
        <w:tblPrEx>
          <w:tblCellMar>
            <w:left w:w="115" w:type="dxa"/>
            <w:right w:w="115" w:type="dxa"/>
          </w:tblCellMar>
        </w:tblPrEx>
        <w:trPr>
          <w:cantSplit/>
          <w:jc w:val="center"/>
        </w:trPr>
        <w:tc>
          <w:tcPr>
            <w:tcW w:w="805" w:type="dxa"/>
            <w:gridSpan w:val="2"/>
            <w:vMerge/>
          </w:tcPr>
          <w:p w14:paraId="60EAC7CE" w14:textId="77777777" w:rsidR="00AB6B0A" w:rsidRPr="00396450" w:rsidRDefault="00AB6B0A" w:rsidP="00E74D8B">
            <w:pPr>
              <w:pStyle w:val="ChecklistTableHeader"/>
              <w:rPr>
                <w:rStyle w:val="ChecklistLeader"/>
                <w:b/>
                <w:sz w:val="20"/>
              </w:rPr>
            </w:pPr>
          </w:p>
        </w:tc>
        <w:tc>
          <w:tcPr>
            <w:tcW w:w="492" w:type="dxa"/>
            <w:vAlign w:val="center"/>
          </w:tcPr>
          <w:p w14:paraId="2A0018CE" w14:textId="6D64BAF9"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60C4710C" w14:textId="324652D0" w:rsidR="00AB6B0A" w:rsidRPr="00396450" w:rsidRDefault="00AB6B0A" w:rsidP="009E3B64">
            <w:pPr>
              <w:pStyle w:val="StatementLevel1"/>
            </w:pPr>
            <w:r w:rsidRPr="00396450">
              <w:t>The device is FDA-approved/cleared</w:t>
            </w:r>
            <w:r w:rsidRPr="00396450">
              <w:rPr>
                <w:rStyle w:val="EndnoteReference"/>
              </w:rPr>
              <w:endnoteReference w:id="7"/>
            </w:r>
            <w:r w:rsidR="006C1E27">
              <w:t xml:space="preserve"> or is legally in the interstate commerce as a Class I device.</w:t>
            </w:r>
          </w:p>
        </w:tc>
      </w:tr>
      <w:tr w:rsidR="00AB6B0A" w:rsidRPr="00396450" w14:paraId="7F1C5358" w14:textId="77777777" w:rsidTr="00FB2DF4">
        <w:tblPrEx>
          <w:tblCellMar>
            <w:left w:w="115" w:type="dxa"/>
            <w:right w:w="115" w:type="dxa"/>
          </w:tblCellMar>
        </w:tblPrEx>
        <w:trPr>
          <w:cantSplit/>
          <w:jc w:val="center"/>
        </w:trPr>
        <w:tc>
          <w:tcPr>
            <w:tcW w:w="805" w:type="dxa"/>
            <w:gridSpan w:val="2"/>
            <w:vMerge/>
          </w:tcPr>
          <w:p w14:paraId="70B3CF28" w14:textId="77777777" w:rsidR="00AB6B0A" w:rsidRPr="00396450" w:rsidRDefault="00AB6B0A" w:rsidP="00E74D8B">
            <w:pPr>
              <w:pStyle w:val="ChecklistTableHeader"/>
              <w:rPr>
                <w:rStyle w:val="ChecklistLeader"/>
                <w:b/>
                <w:sz w:val="20"/>
              </w:rPr>
            </w:pPr>
          </w:p>
        </w:tc>
        <w:tc>
          <w:tcPr>
            <w:tcW w:w="492" w:type="dxa"/>
            <w:vAlign w:val="center"/>
          </w:tcPr>
          <w:p w14:paraId="3D1F2825" w14:textId="7759F151"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6F53DB98" w14:textId="77777777"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14:paraId="7C34EDF7" w14:textId="77777777" w:rsidTr="00FB2DF4">
        <w:tblPrEx>
          <w:shd w:val="clear" w:color="auto" w:fill="000000"/>
        </w:tblPrEx>
        <w:trPr>
          <w:trHeight w:hRule="exact" w:val="72"/>
          <w:jc w:val="center"/>
        </w:trPr>
        <w:tc>
          <w:tcPr>
            <w:tcW w:w="10790" w:type="dxa"/>
            <w:gridSpan w:val="4"/>
            <w:shd w:val="clear" w:color="auto" w:fill="000000"/>
            <w:vAlign w:val="center"/>
          </w:tcPr>
          <w:p w14:paraId="7CB6645B" w14:textId="77777777" w:rsidR="00865C42" w:rsidRPr="00396450" w:rsidRDefault="00865C42" w:rsidP="001B5FE2">
            <w:pPr>
              <w:pStyle w:val="ChecklistTableHeader"/>
              <w:rPr>
                <w:rStyle w:val="ChecklistLeader"/>
                <w:b/>
                <w:sz w:val="20"/>
              </w:rPr>
            </w:pPr>
          </w:p>
        </w:tc>
      </w:tr>
      <w:tr w:rsidR="00AB6B0A" w:rsidRPr="00396450" w14:paraId="649889BC" w14:textId="77777777" w:rsidTr="00FB2DF4">
        <w:tblPrEx>
          <w:tblCellMar>
            <w:left w:w="115" w:type="dxa"/>
            <w:right w:w="115" w:type="dxa"/>
          </w:tblCellMar>
        </w:tblPrEx>
        <w:trPr>
          <w:cantSplit/>
          <w:jc w:val="center"/>
        </w:trPr>
        <w:tc>
          <w:tcPr>
            <w:tcW w:w="805" w:type="dxa"/>
            <w:gridSpan w:val="2"/>
            <w:vMerge w:val="restart"/>
            <w:textDirection w:val="btLr"/>
          </w:tcPr>
          <w:p w14:paraId="159A2720" w14:textId="77777777" w:rsidR="00AB6B0A" w:rsidRPr="00396450" w:rsidRDefault="00AB6B0A" w:rsidP="00E74D8B">
            <w:pPr>
              <w:pStyle w:val="ChecklistTableHeader"/>
              <w:rPr>
                <w:rStyle w:val="ChecklistLeader"/>
                <w:b/>
                <w:sz w:val="20"/>
              </w:rPr>
            </w:pPr>
            <w:r w:rsidRPr="00396450">
              <w:rPr>
                <w:rStyle w:val="ChecklistLeader"/>
                <w:b/>
                <w:sz w:val="20"/>
              </w:rPr>
              <w:t>Cat. #2</w:t>
            </w:r>
          </w:p>
        </w:tc>
        <w:tc>
          <w:tcPr>
            <w:tcW w:w="492" w:type="dxa"/>
            <w:vAlign w:val="center"/>
          </w:tcPr>
          <w:p w14:paraId="55DBBCFB" w14:textId="19268C45"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69EDD886" w14:textId="77777777" w:rsidR="00AB6B0A" w:rsidRPr="00396450" w:rsidRDefault="00AB6B0A" w:rsidP="00D31EDB">
            <w:pPr>
              <w:pStyle w:val="StatementLevel1"/>
            </w:pPr>
            <w:r w:rsidRPr="00396450">
              <w:t>The device is a diagnostic device.</w:t>
            </w:r>
          </w:p>
        </w:tc>
      </w:tr>
      <w:tr w:rsidR="00AB6B0A" w:rsidRPr="00396450" w14:paraId="486AEBB5" w14:textId="77777777" w:rsidTr="00FB2DF4">
        <w:tblPrEx>
          <w:tblCellMar>
            <w:left w:w="115" w:type="dxa"/>
            <w:right w:w="115" w:type="dxa"/>
          </w:tblCellMar>
        </w:tblPrEx>
        <w:trPr>
          <w:cantSplit/>
          <w:jc w:val="center"/>
        </w:trPr>
        <w:tc>
          <w:tcPr>
            <w:tcW w:w="805" w:type="dxa"/>
            <w:gridSpan w:val="2"/>
            <w:vMerge/>
          </w:tcPr>
          <w:p w14:paraId="4AE8D134" w14:textId="77777777" w:rsidR="00AB6B0A" w:rsidRPr="00396450" w:rsidRDefault="00AB6B0A" w:rsidP="00E74D8B">
            <w:pPr>
              <w:pStyle w:val="ChecklistTableHeader"/>
              <w:rPr>
                <w:rStyle w:val="ChecklistLeader"/>
                <w:b/>
                <w:sz w:val="20"/>
              </w:rPr>
            </w:pPr>
          </w:p>
        </w:tc>
        <w:tc>
          <w:tcPr>
            <w:tcW w:w="492" w:type="dxa"/>
            <w:vAlign w:val="center"/>
          </w:tcPr>
          <w:p w14:paraId="60AEA4E9" w14:textId="0A312AEB"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26F96380" w14:textId="77777777" w:rsidR="00AB6B0A" w:rsidRPr="00396450" w:rsidRDefault="00AB6B0A" w:rsidP="00D31EDB">
            <w:pPr>
              <w:pStyle w:val="StatementLevel1"/>
            </w:pPr>
            <w:r w:rsidRPr="00396450">
              <w:t>The sponsor will comply with applicable requirements in 21 CFR 809.10(c).</w:t>
            </w:r>
          </w:p>
        </w:tc>
      </w:tr>
      <w:tr w:rsidR="00AB6B0A" w:rsidRPr="00396450" w14:paraId="422E5B0C" w14:textId="77777777" w:rsidTr="00FB2DF4">
        <w:tblPrEx>
          <w:tblCellMar>
            <w:left w:w="115" w:type="dxa"/>
            <w:right w:w="115" w:type="dxa"/>
          </w:tblCellMar>
        </w:tblPrEx>
        <w:trPr>
          <w:cantSplit/>
          <w:jc w:val="center"/>
        </w:trPr>
        <w:tc>
          <w:tcPr>
            <w:tcW w:w="805" w:type="dxa"/>
            <w:gridSpan w:val="2"/>
            <w:vMerge/>
          </w:tcPr>
          <w:p w14:paraId="48E16029" w14:textId="77777777" w:rsidR="00AB6B0A" w:rsidRPr="00396450" w:rsidRDefault="00AB6B0A" w:rsidP="00E74D8B">
            <w:pPr>
              <w:pStyle w:val="ChecklistTableHeader"/>
              <w:rPr>
                <w:rStyle w:val="ChecklistLeader"/>
                <w:b/>
                <w:sz w:val="20"/>
              </w:rPr>
            </w:pPr>
          </w:p>
        </w:tc>
        <w:tc>
          <w:tcPr>
            <w:tcW w:w="492" w:type="dxa"/>
            <w:vAlign w:val="center"/>
          </w:tcPr>
          <w:p w14:paraId="0932E3D5" w14:textId="7C373FB5" w:rsidR="00AB6B0A" w:rsidRPr="00396450" w:rsidRDefault="00AB6B0A" w:rsidP="001B5FE2">
            <w:pPr>
              <w:pStyle w:val="Yes-No"/>
              <w:jc w:val="center"/>
            </w:pPr>
            <w:r w:rsidRPr="00396450">
              <w:fldChar w:fldCharType="begin">
                <w:ffData>
                  <w:name w:val="Check1"/>
                  <w:enabled/>
                  <w:calcOnExit w:val="0"/>
                  <w:checkBox>
                    <w:sizeAuto/>
                    <w:default w:val="0"/>
                    <w:checked w:val="0"/>
                  </w:checkBox>
                </w:ffData>
              </w:fldChar>
            </w:r>
            <w:r w:rsidRPr="00396450">
              <w:instrText xml:space="preserve"> FORMCHECKBOX </w:instrText>
            </w:r>
            <w:r w:rsidR="0036404F">
              <w:fldChar w:fldCharType="separate"/>
            </w:r>
            <w:r w:rsidRPr="00396450">
              <w:fldChar w:fldCharType="end"/>
            </w:r>
          </w:p>
        </w:tc>
        <w:tc>
          <w:tcPr>
            <w:tcW w:w="9493" w:type="dxa"/>
          </w:tcPr>
          <w:p w14:paraId="005B1B2E" w14:textId="77777777"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14:paraId="54C1FE1D" w14:textId="77777777" w:rsidTr="00FB2DF4">
        <w:tblPrEx>
          <w:tblCellMar>
            <w:left w:w="115" w:type="dxa"/>
            <w:right w:w="115" w:type="dxa"/>
          </w:tblCellMar>
        </w:tblPrEx>
        <w:trPr>
          <w:cantSplit/>
          <w:jc w:val="center"/>
        </w:trPr>
        <w:tc>
          <w:tcPr>
            <w:tcW w:w="805" w:type="dxa"/>
            <w:gridSpan w:val="2"/>
            <w:vMerge/>
          </w:tcPr>
          <w:p w14:paraId="0767C311" w14:textId="77777777" w:rsidR="00AB6B0A" w:rsidRPr="00396450" w:rsidRDefault="00AB6B0A" w:rsidP="00E74D8B">
            <w:pPr>
              <w:pStyle w:val="ChecklistTableHeader"/>
              <w:rPr>
                <w:rStyle w:val="ChecklistLeader"/>
                <w:b/>
                <w:sz w:val="20"/>
              </w:rPr>
            </w:pPr>
          </w:p>
        </w:tc>
        <w:tc>
          <w:tcPr>
            <w:tcW w:w="492" w:type="dxa"/>
            <w:vAlign w:val="center"/>
          </w:tcPr>
          <w:p w14:paraId="32B30DA9" w14:textId="1026270D"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1A1FE5DD" w14:textId="77777777" w:rsidR="00AB6B0A" w:rsidRPr="00396450" w:rsidRDefault="00AB6B0A" w:rsidP="00D31EDB">
            <w:pPr>
              <w:pStyle w:val="StatementLevel1"/>
            </w:pPr>
            <w:r w:rsidRPr="00396450">
              <w:t>The testing does not require an invasive sampling procedure that presents significant risk.</w:t>
            </w:r>
          </w:p>
        </w:tc>
      </w:tr>
      <w:tr w:rsidR="00AB6B0A" w:rsidRPr="00396450" w14:paraId="48C0DC05" w14:textId="77777777" w:rsidTr="00FB2DF4">
        <w:tblPrEx>
          <w:tblCellMar>
            <w:left w:w="115" w:type="dxa"/>
            <w:right w:w="115" w:type="dxa"/>
          </w:tblCellMar>
        </w:tblPrEx>
        <w:trPr>
          <w:cantSplit/>
          <w:jc w:val="center"/>
        </w:trPr>
        <w:tc>
          <w:tcPr>
            <w:tcW w:w="805" w:type="dxa"/>
            <w:gridSpan w:val="2"/>
            <w:vMerge/>
          </w:tcPr>
          <w:p w14:paraId="313E8C88" w14:textId="77777777" w:rsidR="00AB6B0A" w:rsidRPr="00396450" w:rsidRDefault="00AB6B0A" w:rsidP="00E74D8B">
            <w:pPr>
              <w:pStyle w:val="ChecklistTableHeader"/>
              <w:rPr>
                <w:rStyle w:val="ChecklistLeader"/>
                <w:b/>
                <w:sz w:val="20"/>
              </w:rPr>
            </w:pPr>
          </w:p>
        </w:tc>
        <w:tc>
          <w:tcPr>
            <w:tcW w:w="492" w:type="dxa"/>
            <w:vAlign w:val="center"/>
          </w:tcPr>
          <w:p w14:paraId="47A209C2" w14:textId="0BE1B930"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2E5D34D7" w14:textId="77777777" w:rsidR="00AB6B0A" w:rsidRPr="00396450" w:rsidRDefault="00AB6B0A" w:rsidP="00D31EDB">
            <w:pPr>
              <w:pStyle w:val="StatementLevel1"/>
            </w:pPr>
            <w:r w:rsidRPr="00396450">
              <w:t>The testing does not by design or intention introduce energy into a subject</w:t>
            </w:r>
          </w:p>
        </w:tc>
      </w:tr>
      <w:tr w:rsidR="00AB6B0A" w:rsidRPr="00396450" w14:paraId="1AAE6199" w14:textId="77777777" w:rsidTr="00FB2DF4">
        <w:tblPrEx>
          <w:tblCellMar>
            <w:left w:w="115" w:type="dxa"/>
            <w:right w:w="115" w:type="dxa"/>
          </w:tblCellMar>
        </w:tblPrEx>
        <w:trPr>
          <w:cantSplit/>
          <w:jc w:val="center"/>
        </w:trPr>
        <w:tc>
          <w:tcPr>
            <w:tcW w:w="805" w:type="dxa"/>
            <w:gridSpan w:val="2"/>
            <w:vMerge/>
          </w:tcPr>
          <w:p w14:paraId="29C58356" w14:textId="77777777" w:rsidR="00AB6B0A" w:rsidRPr="00396450" w:rsidRDefault="00AB6B0A" w:rsidP="00E74D8B">
            <w:pPr>
              <w:pStyle w:val="ChecklistTableHeader"/>
              <w:rPr>
                <w:rStyle w:val="ChecklistLeader"/>
                <w:b/>
                <w:sz w:val="20"/>
              </w:rPr>
            </w:pPr>
          </w:p>
        </w:tc>
        <w:tc>
          <w:tcPr>
            <w:tcW w:w="492" w:type="dxa"/>
            <w:vAlign w:val="center"/>
          </w:tcPr>
          <w:p w14:paraId="194C33B7" w14:textId="6780E720"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tcPr>
          <w:p w14:paraId="1B68B32C" w14:textId="77777777"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14:paraId="532DF76F" w14:textId="77777777" w:rsidTr="00FB2DF4">
        <w:tblPrEx>
          <w:shd w:val="clear" w:color="auto" w:fill="000000"/>
        </w:tblPrEx>
        <w:trPr>
          <w:trHeight w:hRule="exact" w:val="72"/>
          <w:jc w:val="center"/>
        </w:trPr>
        <w:tc>
          <w:tcPr>
            <w:tcW w:w="10790" w:type="dxa"/>
            <w:gridSpan w:val="4"/>
            <w:shd w:val="clear" w:color="auto" w:fill="000000"/>
            <w:vAlign w:val="center"/>
          </w:tcPr>
          <w:p w14:paraId="2EE2F06B" w14:textId="77777777" w:rsidR="00865C42" w:rsidRPr="00396450" w:rsidRDefault="00865C42" w:rsidP="001B5FE2">
            <w:pPr>
              <w:pStyle w:val="ChecklistTableHeader"/>
              <w:rPr>
                <w:rStyle w:val="ChecklistLeader"/>
                <w:b/>
                <w:sz w:val="20"/>
              </w:rPr>
            </w:pPr>
          </w:p>
        </w:tc>
      </w:tr>
      <w:tr w:rsidR="00AB6B0A" w:rsidRPr="00396450" w14:paraId="678694F8" w14:textId="77777777" w:rsidTr="00FB2DF4">
        <w:tblPrEx>
          <w:tblCellMar>
            <w:left w:w="115" w:type="dxa"/>
            <w:right w:w="115" w:type="dxa"/>
          </w:tblCellMar>
        </w:tblPrEx>
        <w:trPr>
          <w:cantSplit/>
          <w:trHeight w:val="720"/>
          <w:jc w:val="center"/>
        </w:trPr>
        <w:tc>
          <w:tcPr>
            <w:tcW w:w="805" w:type="dxa"/>
            <w:gridSpan w:val="2"/>
            <w:textDirection w:val="btLr"/>
          </w:tcPr>
          <w:p w14:paraId="257A50DE" w14:textId="77777777" w:rsidR="00AB6B0A" w:rsidRPr="00396450" w:rsidRDefault="00AB6B0A" w:rsidP="00E74D8B">
            <w:pPr>
              <w:pStyle w:val="ChecklistTableHeader"/>
              <w:rPr>
                <w:rStyle w:val="ChecklistLeader"/>
                <w:b/>
                <w:sz w:val="20"/>
              </w:rPr>
            </w:pPr>
            <w:r w:rsidRPr="00396450">
              <w:rPr>
                <w:rStyle w:val="ChecklistLeader"/>
                <w:b/>
                <w:sz w:val="20"/>
              </w:rPr>
              <w:t>Cat. #3</w:t>
            </w:r>
          </w:p>
        </w:tc>
        <w:tc>
          <w:tcPr>
            <w:tcW w:w="492" w:type="dxa"/>
            <w:vAlign w:val="center"/>
          </w:tcPr>
          <w:p w14:paraId="607D0B92" w14:textId="582A66DD"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vAlign w:val="center"/>
          </w:tcPr>
          <w:p w14:paraId="3831BF59" w14:textId="77777777"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14:paraId="799383CB" w14:textId="77777777" w:rsidTr="00FB2DF4">
        <w:tblPrEx>
          <w:shd w:val="clear" w:color="auto" w:fill="000000"/>
        </w:tblPrEx>
        <w:trPr>
          <w:trHeight w:hRule="exact" w:val="72"/>
          <w:jc w:val="center"/>
        </w:trPr>
        <w:tc>
          <w:tcPr>
            <w:tcW w:w="10790" w:type="dxa"/>
            <w:gridSpan w:val="4"/>
            <w:shd w:val="clear" w:color="auto" w:fill="000000"/>
            <w:vAlign w:val="center"/>
          </w:tcPr>
          <w:p w14:paraId="310DCD8E" w14:textId="77777777" w:rsidR="00AB6B0A" w:rsidRPr="00396450" w:rsidRDefault="00AB6B0A" w:rsidP="001B5FE2">
            <w:pPr>
              <w:pStyle w:val="ChecklistTableHeader"/>
              <w:rPr>
                <w:rStyle w:val="ChecklistLeader"/>
                <w:b/>
                <w:sz w:val="20"/>
              </w:rPr>
            </w:pPr>
          </w:p>
        </w:tc>
      </w:tr>
      <w:tr w:rsidR="00AB6B0A" w:rsidRPr="00396450" w14:paraId="2F592B40" w14:textId="77777777" w:rsidTr="00FB2DF4">
        <w:tblPrEx>
          <w:tblCellMar>
            <w:left w:w="115" w:type="dxa"/>
            <w:right w:w="115" w:type="dxa"/>
          </w:tblCellMar>
        </w:tblPrEx>
        <w:trPr>
          <w:cantSplit/>
          <w:trHeight w:val="576"/>
          <w:jc w:val="center"/>
        </w:trPr>
        <w:tc>
          <w:tcPr>
            <w:tcW w:w="805" w:type="dxa"/>
            <w:gridSpan w:val="2"/>
            <w:textDirection w:val="btLr"/>
          </w:tcPr>
          <w:p w14:paraId="2B340054" w14:textId="77777777" w:rsidR="00AB6B0A" w:rsidRPr="00396450" w:rsidRDefault="00AB6B0A" w:rsidP="00E74D8B">
            <w:pPr>
              <w:pStyle w:val="ChecklistTableHeader"/>
              <w:rPr>
                <w:rStyle w:val="ChecklistLeader"/>
                <w:b/>
                <w:sz w:val="20"/>
              </w:rPr>
            </w:pPr>
            <w:r w:rsidRPr="00396450">
              <w:rPr>
                <w:rStyle w:val="ChecklistLeader"/>
                <w:b/>
                <w:sz w:val="20"/>
              </w:rPr>
              <w:t>Cat. #4</w:t>
            </w:r>
          </w:p>
        </w:tc>
        <w:tc>
          <w:tcPr>
            <w:tcW w:w="492" w:type="dxa"/>
            <w:vAlign w:val="center"/>
          </w:tcPr>
          <w:p w14:paraId="04FD5A7B" w14:textId="7203DF11"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493" w:type="dxa"/>
            <w:vAlign w:val="center"/>
          </w:tcPr>
          <w:p w14:paraId="0684CA7F" w14:textId="182B5B7C" w:rsidR="00AB6B0A" w:rsidRPr="00396450" w:rsidRDefault="00AB6B0A" w:rsidP="0005763B">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r w:rsidR="00DB4463">
              <w:rPr>
                <w:rStyle w:val="EndnoteReference"/>
              </w:rPr>
              <w:endnoteReference w:id="9"/>
            </w:r>
          </w:p>
        </w:tc>
      </w:tr>
      <w:tr w:rsidR="00AB6B0A" w:rsidRPr="00396450" w14:paraId="5CDBFE3E" w14:textId="77777777" w:rsidTr="00FB2DF4">
        <w:tblPrEx>
          <w:shd w:val="clear" w:color="auto" w:fill="000000"/>
        </w:tblPrEx>
        <w:trPr>
          <w:trHeight w:hRule="exact" w:val="72"/>
          <w:jc w:val="center"/>
        </w:trPr>
        <w:tc>
          <w:tcPr>
            <w:tcW w:w="10790" w:type="dxa"/>
            <w:gridSpan w:val="4"/>
            <w:shd w:val="clear" w:color="auto" w:fill="000000"/>
          </w:tcPr>
          <w:p w14:paraId="0ADD0A2C" w14:textId="77777777" w:rsidR="00AB6B0A" w:rsidRPr="00396450" w:rsidRDefault="00AB6B0A" w:rsidP="007414DD">
            <w:pPr>
              <w:rPr>
                <w:sz w:val="10"/>
                <w:szCs w:val="10"/>
              </w:rPr>
            </w:pPr>
          </w:p>
        </w:tc>
      </w:tr>
      <w:tr w:rsidR="00AB6B0A" w:rsidRPr="00396450" w14:paraId="1378C409" w14:textId="77777777" w:rsidTr="00FB2DF4">
        <w:trPr>
          <w:jc w:val="center"/>
        </w:trPr>
        <w:tc>
          <w:tcPr>
            <w:tcW w:w="10790" w:type="dxa"/>
            <w:gridSpan w:val="4"/>
          </w:tcPr>
          <w:p w14:paraId="7EB57C91" w14:textId="0CE37D05" w:rsidR="00AB6B0A" w:rsidRPr="00396450" w:rsidRDefault="00AB6B0A" w:rsidP="00467936">
            <w:pPr>
              <w:pStyle w:val="ChecklistLevel1"/>
              <w:numPr>
                <w:ilvl w:val="0"/>
                <w:numId w:val="14"/>
              </w:numPr>
            </w:pPr>
            <w:r w:rsidRPr="00396450">
              <w:t xml:space="preserve">IDE Oversight for investigators who hold the IDE </w:t>
            </w:r>
            <w:r w:rsidRPr="00396450">
              <w:rPr>
                <w:b w:val="0"/>
              </w:rPr>
              <w:t>(</w:t>
            </w:r>
            <w:r>
              <w:rPr>
                <w:b w:val="0"/>
              </w:rPr>
              <w:t xml:space="preserve">Check if </w:t>
            </w:r>
            <w:r>
              <w:t>“Yes”</w:t>
            </w:r>
            <w:r>
              <w:rPr>
                <w:b w:val="0"/>
              </w:rPr>
              <w:t xml:space="preserve">. </w:t>
            </w:r>
            <w:r w:rsidR="00467936">
              <w:rPr>
                <w:b w:val="0"/>
              </w:rPr>
              <w:t>M</w:t>
            </w:r>
            <w:r w:rsidRPr="00396450">
              <w:rPr>
                <w:b w:val="0"/>
              </w:rPr>
              <w:t xml:space="preserve">ust be </w:t>
            </w:r>
            <w:r w:rsidRPr="00396450">
              <w:t>“Yes”</w:t>
            </w:r>
            <w:r w:rsidR="007414DD">
              <w:t xml:space="preserve"> </w:t>
            </w:r>
            <w:r w:rsidR="007414DD" w:rsidRPr="007414DD">
              <w:rPr>
                <w:b w:val="0"/>
              </w:rPr>
              <w:t>i</w:t>
            </w:r>
            <w:r w:rsidR="007414DD">
              <w:rPr>
                <w:b w:val="0"/>
              </w:rPr>
              <w:t>f the investigator holds the IDE</w:t>
            </w:r>
            <w:r w:rsidR="00467936">
              <w:rPr>
                <w:b w:val="0"/>
              </w:rPr>
              <w:t>.</w:t>
            </w:r>
            <w:r w:rsidRPr="00396450">
              <w:rPr>
                <w:b w:val="0"/>
              </w:rPr>
              <w:t>)</w:t>
            </w:r>
          </w:p>
        </w:tc>
      </w:tr>
      <w:tr w:rsidR="00AB6B0A" w:rsidRPr="00621710" w14:paraId="5671C0FF" w14:textId="77777777" w:rsidTr="00FB2DF4">
        <w:trPr>
          <w:jc w:val="center"/>
        </w:trPr>
        <w:tc>
          <w:tcPr>
            <w:tcW w:w="791" w:type="dxa"/>
          </w:tcPr>
          <w:p w14:paraId="09FF8B93" w14:textId="7BE67FA5"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36404F">
              <w:fldChar w:fldCharType="separate"/>
            </w:r>
            <w:r w:rsidRPr="00396450">
              <w:fldChar w:fldCharType="end"/>
            </w:r>
          </w:p>
        </w:tc>
        <w:tc>
          <w:tcPr>
            <w:tcW w:w="9999" w:type="dxa"/>
            <w:gridSpan w:val="3"/>
          </w:tcPr>
          <w:p w14:paraId="2B9A3862" w14:textId="55473FEA" w:rsidR="00AB6B0A" w:rsidRPr="00621710" w:rsidRDefault="005F043E" w:rsidP="005F043E">
            <w:pPr>
              <w:pStyle w:val="StatementLevel1"/>
            </w:pPr>
            <w:r>
              <w:t>T</w:t>
            </w:r>
            <w:r w:rsidR="00AB6B0A" w:rsidRPr="00396450">
              <w:t xml:space="preserve">he investigator </w:t>
            </w:r>
            <w:r>
              <w:t xml:space="preserve">has certified in writing that s/he will comply </w:t>
            </w:r>
            <w:r w:rsidR="00AB6B0A" w:rsidRPr="00396450">
              <w:t>with FDA sponsor requirements (including GMP when applicable).</w:t>
            </w:r>
          </w:p>
        </w:tc>
      </w:tr>
    </w:tbl>
    <w:p w14:paraId="6505D5B8" w14:textId="77777777" w:rsidR="00584F51" w:rsidRDefault="00584F51" w:rsidP="0064239E"/>
    <w:sectPr w:rsidR="00584F51" w:rsidSect="00C0319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4FC75" w14:textId="77777777" w:rsidR="0036404F" w:rsidRDefault="0036404F">
      <w:r>
        <w:separator/>
      </w:r>
    </w:p>
  </w:endnote>
  <w:endnote w:type="continuationSeparator" w:id="0">
    <w:p w14:paraId="2C49E174" w14:textId="77777777" w:rsidR="0036404F" w:rsidRDefault="0036404F">
      <w:r>
        <w:continuationSeparator/>
      </w:r>
    </w:p>
  </w:endnote>
  <w:endnote w:id="1">
    <w:p w14:paraId="4A88F855" w14:textId="77777777" w:rsidR="001B5FE2" w:rsidRDefault="001B5FE2" w:rsidP="00F17BE2">
      <w:pPr>
        <w:pStyle w:val="EndnoteText"/>
      </w:pPr>
      <w:r>
        <w:rPr>
          <w:rStyle w:val="EndnoteReference"/>
        </w:rPr>
        <w:endnoteRef/>
      </w:r>
      <w:r>
        <w:t xml:space="preserve"> The term ‘‘</w:t>
      </w:r>
      <w:r w:rsidR="000B35A6">
        <w:t xml:space="preserve">medical </w:t>
      </w:r>
      <w:r>
        <w:t>device’’ means an instrument, apparatus, implement, machine, contrivance, implant, in vitro reagent, or other similar or related article, including any component, part, or accessory, which is:</w:t>
      </w:r>
    </w:p>
    <w:p w14:paraId="03ABAAD3" w14:textId="77777777" w:rsidR="001B5FE2" w:rsidRDefault="001B5FE2" w:rsidP="001B5FE2">
      <w:pPr>
        <w:pStyle w:val="EndnoteText"/>
        <w:numPr>
          <w:ilvl w:val="0"/>
          <w:numId w:val="35"/>
        </w:numPr>
      </w:pPr>
      <w:r>
        <w:t>recognized in the official National Formulary, or the United States Pharmacopeia, or any supplement to them,</w:t>
      </w:r>
    </w:p>
    <w:p w14:paraId="6BC5213D" w14:textId="77777777"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14:paraId="04991108" w14:textId="1A024C20" w:rsidR="001B5FE2" w:rsidRDefault="001B5FE2" w:rsidP="001B5FE2">
      <w:pPr>
        <w:pStyle w:val="EndnoteText"/>
        <w:numPr>
          <w:ilvl w:val="0"/>
          <w:numId w:val="35"/>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p w14:paraId="0A1CC73E" w14:textId="77777777" w:rsidR="0034063F" w:rsidRDefault="0034063F" w:rsidP="0034063F">
      <w:pPr>
        <w:pStyle w:val="NormalWeb"/>
        <w:ind w:firstLine="360"/>
        <w:rPr>
          <w:color w:val="000000"/>
        </w:rPr>
      </w:pPr>
      <w:r>
        <w:rPr>
          <w:color w:val="000000"/>
          <w:sz w:val="18"/>
          <w:szCs w:val="18"/>
        </w:rPr>
        <w:t xml:space="preserve">Due to </w:t>
      </w:r>
      <w:hyperlink r:id="rId1" w:history="1">
        <w:r>
          <w:rPr>
            <w:rStyle w:val="Hyperlink"/>
            <w:sz w:val="18"/>
            <w:szCs w:val="18"/>
          </w:rPr>
          <w:t>changes to Section 3060 of the 21</w:t>
        </w:r>
        <w:r>
          <w:rPr>
            <w:rStyle w:val="Hyperlink"/>
            <w:sz w:val="11"/>
            <w:szCs w:val="11"/>
            <w:vertAlign w:val="superscript"/>
          </w:rPr>
          <w:t>st</w:t>
        </w:r>
        <w:r>
          <w:rPr>
            <w:rStyle w:val="Hyperlink"/>
            <w:sz w:val="18"/>
            <w:szCs w:val="18"/>
          </w:rPr>
          <w:t xml:space="preserve"> Century Cures act</w:t>
        </w:r>
      </w:hyperlink>
      <w:r>
        <w:rPr>
          <w:color w:val="000000"/>
          <w:sz w:val="18"/>
          <w:szCs w:val="18"/>
        </w:rPr>
        <w:t xml:space="preserve">, the term “device” does not include </w:t>
      </w:r>
      <w:r>
        <w:rPr>
          <w:b/>
          <w:bCs/>
          <w:color w:val="000000"/>
          <w:sz w:val="18"/>
          <w:szCs w:val="18"/>
        </w:rPr>
        <w:t>software function</w:t>
      </w:r>
      <w:r>
        <w:rPr>
          <w:color w:val="000000"/>
          <w:sz w:val="18"/>
          <w:szCs w:val="18"/>
        </w:rPr>
        <w:t xml:space="preserve"> that is intended for:</w:t>
      </w:r>
    </w:p>
    <w:p w14:paraId="0D1457EA" w14:textId="05B82C05" w:rsidR="0034063F" w:rsidRDefault="0034063F" w:rsidP="0034063F">
      <w:pPr>
        <w:pStyle w:val="NormalWeb"/>
        <w:numPr>
          <w:ilvl w:val="0"/>
          <w:numId w:val="44"/>
        </w:numPr>
        <w:textAlignment w:val="baseline"/>
        <w:rPr>
          <w:color w:val="000000"/>
          <w:sz w:val="18"/>
          <w:szCs w:val="18"/>
        </w:rPr>
      </w:pPr>
      <w:r>
        <w:rPr>
          <w:color w:val="000000"/>
          <w:sz w:val="18"/>
          <w:szCs w:val="18"/>
        </w:rPr>
        <w:t>administrative support of a health care facility, including the processing and maintenance of financial records, claims or billing information, appointment schedules, business analytics, information about patient populations, admissions, practice and inventory management, analysis of historical claims data to predict future utilization or cost-effectiveness, determination of health benefit eligibility, population health management, and laboratory workflow;</w:t>
      </w:r>
    </w:p>
    <w:p w14:paraId="607D5CEF" w14:textId="2D273714" w:rsidR="0034063F" w:rsidRDefault="0034063F" w:rsidP="0034063F">
      <w:pPr>
        <w:pStyle w:val="NormalWeb"/>
        <w:numPr>
          <w:ilvl w:val="0"/>
          <w:numId w:val="44"/>
        </w:numPr>
        <w:textAlignment w:val="baseline"/>
        <w:rPr>
          <w:color w:val="000000"/>
          <w:sz w:val="18"/>
          <w:szCs w:val="18"/>
        </w:rPr>
      </w:pPr>
      <w:r>
        <w:rPr>
          <w:color w:val="000000"/>
          <w:sz w:val="18"/>
          <w:szCs w:val="18"/>
        </w:rPr>
        <w:t>maintaining or encouraging a healthy lifestyle and is unrelated to the diagnosis, cure, mitigation, prevention, or treatment of a disease or condition; </w:t>
      </w:r>
    </w:p>
    <w:p w14:paraId="44632E1E" w14:textId="703168A9" w:rsidR="0034063F" w:rsidRDefault="0034063F" w:rsidP="0034063F">
      <w:pPr>
        <w:pStyle w:val="NormalWeb"/>
        <w:numPr>
          <w:ilvl w:val="0"/>
          <w:numId w:val="44"/>
        </w:numPr>
        <w:textAlignment w:val="baseline"/>
        <w:rPr>
          <w:color w:val="000000"/>
          <w:sz w:val="18"/>
          <w:szCs w:val="18"/>
        </w:rPr>
      </w:pPr>
      <w:r>
        <w:rPr>
          <w:color w:val="000000"/>
          <w:sz w:val="18"/>
          <w:szCs w:val="18"/>
        </w:rPr>
        <w:t>serve as electronic patient records, including patient-provided information, to the extent that such records are intended to transfer, store, convert formats, or display the equivalent of a paper medical chart, so long as—</w:t>
      </w:r>
    </w:p>
    <w:p w14:paraId="49642C81" w14:textId="77777777" w:rsidR="0034063F" w:rsidRDefault="0034063F" w:rsidP="0034063F">
      <w:pPr>
        <w:pStyle w:val="NormalWeb"/>
        <w:numPr>
          <w:ilvl w:val="0"/>
          <w:numId w:val="45"/>
        </w:numPr>
        <w:textAlignment w:val="baseline"/>
        <w:rPr>
          <w:color w:val="000000"/>
          <w:sz w:val="18"/>
          <w:szCs w:val="18"/>
        </w:rPr>
      </w:pPr>
      <w:r>
        <w:rPr>
          <w:color w:val="000000"/>
          <w:sz w:val="18"/>
          <w:szCs w:val="18"/>
        </w:rPr>
        <w:t>such records were created, stored, transferred, or reviewed by health care professionals, or by individuals working under supervision of such professionals;</w:t>
      </w:r>
    </w:p>
    <w:p w14:paraId="46787831" w14:textId="77777777" w:rsidR="0034063F" w:rsidRDefault="0034063F" w:rsidP="0034063F">
      <w:pPr>
        <w:pStyle w:val="NormalWeb"/>
        <w:numPr>
          <w:ilvl w:val="0"/>
          <w:numId w:val="45"/>
        </w:numPr>
        <w:textAlignment w:val="baseline"/>
        <w:rPr>
          <w:color w:val="000000"/>
          <w:sz w:val="18"/>
          <w:szCs w:val="18"/>
        </w:rPr>
      </w:pPr>
      <w:r w:rsidRPr="0034063F">
        <w:rPr>
          <w:color w:val="000000"/>
          <w:sz w:val="18"/>
          <w:szCs w:val="18"/>
        </w:rPr>
        <w:t>such records are part of health information technology that is certified under section 3001(c)(5) of the Public Health Service Act; and</w:t>
      </w:r>
    </w:p>
    <w:p w14:paraId="443D8C63" w14:textId="63261174" w:rsidR="0034063F" w:rsidRPr="0034063F" w:rsidRDefault="0034063F" w:rsidP="0034063F">
      <w:pPr>
        <w:pStyle w:val="NormalWeb"/>
        <w:numPr>
          <w:ilvl w:val="0"/>
          <w:numId w:val="45"/>
        </w:numPr>
        <w:textAlignment w:val="baseline"/>
        <w:rPr>
          <w:color w:val="000000"/>
          <w:sz w:val="18"/>
          <w:szCs w:val="18"/>
        </w:rPr>
      </w:pPr>
      <w:r w:rsidRPr="0034063F">
        <w:rPr>
          <w:color w:val="000000"/>
          <w:sz w:val="18"/>
          <w:szCs w:val="18"/>
        </w:rPr>
        <w:t>such function is not intended to interpret or analyze patient records, including medical image data, for the purpose of the diagnosis, cure, mitigation, prevention, or treatment of a disease or condition; or</w:t>
      </w:r>
    </w:p>
    <w:p w14:paraId="083F87FC" w14:textId="0149C887" w:rsidR="0034063F" w:rsidRDefault="0034063F" w:rsidP="0034063F">
      <w:pPr>
        <w:pStyle w:val="NormalWeb"/>
        <w:numPr>
          <w:ilvl w:val="0"/>
          <w:numId w:val="44"/>
        </w:numPr>
        <w:textAlignment w:val="baseline"/>
        <w:rPr>
          <w:color w:val="000000"/>
          <w:sz w:val="18"/>
          <w:szCs w:val="18"/>
        </w:rPr>
      </w:pPr>
      <w:r>
        <w:rPr>
          <w:color w:val="000000"/>
          <w:sz w:val="18"/>
          <w:szCs w:val="18"/>
        </w:rPr>
        <w:t>transferring, storing, converting formats, or displaying clinical laboratory test or other device data and results, findings by a health care professional with respect to such data and results, general information about such findings, and general background information about such laboratory test or other device, unless such function is intended to interpret or analyze clinical laboratory test or other device data, results, and findings.</w:t>
      </w:r>
    </w:p>
    <w:p w14:paraId="0850961B" w14:textId="77777777" w:rsidR="0034063F" w:rsidRDefault="0034063F" w:rsidP="0034063F">
      <w:pPr>
        <w:pStyle w:val="NormalWeb"/>
        <w:ind w:left="432" w:hanging="216"/>
        <w:rPr>
          <w:color w:val="000000"/>
        </w:rPr>
      </w:pPr>
      <w:r>
        <w:rPr>
          <w:color w:val="000000"/>
          <w:sz w:val="18"/>
          <w:szCs w:val="18"/>
        </w:rPr>
        <w:t>To review the FDA’s guidance regarding the changes to the existing medical definition due to the 21</w:t>
      </w:r>
      <w:r>
        <w:rPr>
          <w:color w:val="000000"/>
          <w:sz w:val="11"/>
          <w:szCs w:val="11"/>
          <w:vertAlign w:val="superscript"/>
        </w:rPr>
        <w:t>st</w:t>
      </w:r>
      <w:r>
        <w:rPr>
          <w:color w:val="000000"/>
          <w:sz w:val="18"/>
          <w:szCs w:val="18"/>
        </w:rPr>
        <w:t xml:space="preserve"> Century Cures Act, please visit this website: </w:t>
      </w:r>
      <w:hyperlink r:id="rId2" w:history="1">
        <w:r>
          <w:rPr>
            <w:rStyle w:val="Hyperlink"/>
            <w:sz w:val="18"/>
            <w:szCs w:val="18"/>
          </w:rPr>
          <w:t>https://www.fda.gov/media/109622/download</w:t>
        </w:r>
      </w:hyperlink>
      <w:r>
        <w:rPr>
          <w:color w:val="000000"/>
          <w:sz w:val="18"/>
          <w:szCs w:val="18"/>
        </w:rPr>
        <w:t>. </w:t>
      </w:r>
    </w:p>
    <w:p w14:paraId="652F3147" w14:textId="069E8763" w:rsidR="0034063F" w:rsidRPr="0034063F" w:rsidRDefault="0034063F" w:rsidP="0034063F">
      <w:pPr>
        <w:pStyle w:val="NormalWeb"/>
        <w:ind w:left="432" w:hanging="216"/>
        <w:rPr>
          <w:color w:val="000000"/>
        </w:rPr>
      </w:pPr>
      <w:r>
        <w:rPr>
          <w:color w:val="000000"/>
          <w:sz w:val="18"/>
          <w:szCs w:val="18"/>
        </w:rPr>
        <w:t xml:space="preserve">To review software functions that are the focus of the FDA’s regulatory oversight, please review the following guidance: </w:t>
      </w:r>
      <w:hyperlink r:id="rId3" w:history="1">
        <w:r>
          <w:rPr>
            <w:rStyle w:val="Hyperlink"/>
            <w:sz w:val="18"/>
            <w:szCs w:val="18"/>
          </w:rPr>
          <w:t>https://www.fda.gov/media/80958/download</w:t>
        </w:r>
      </w:hyperlink>
      <w:r>
        <w:rPr>
          <w:color w:val="000000"/>
          <w:sz w:val="18"/>
          <w:szCs w:val="18"/>
        </w:rPr>
        <w:t>.  </w:t>
      </w:r>
    </w:p>
  </w:endnote>
  <w:endnote w:id="2">
    <w:p w14:paraId="7F2F1AB9"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14:paraId="4D211B99"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0A2CA81C" w14:textId="77777777"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14:paraId="6E39E062" w14:textId="77777777"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14:paraId="3D6201DE" w14:textId="77777777"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4" w:history="1">
        <w:r w:rsidR="00705437" w:rsidRPr="0042088D">
          <w:rPr>
            <w:rStyle w:val="Hyperlink"/>
          </w:rPr>
          <w:t>http://www.fda.gov/downloads/regulatoryinformation/guidances/ucm126418.pdf</w:t>
        </w:r>
      </w:hyperlink>
      <w:r w:rsidR="008E0391">
        <w:t>)</w:t>
      </w:r>
    </w:p>
  </w:endnote>
  <w:endnote w:id="7">
    <w:p w14:paraId="73EE7BA2" w14:textId="77777777"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14:paraId="14EEED73" w14:textId="63B0FFD5" w:rsidR="0005763B" w:rsidRPr="00DB4463" w:rsidRDefault="00AB6B0A" w:rsidP="00DB4463">
      <w:pPr>
        <w:pStyle w:val="EndnoteText"/>
        <w:rPr>
          <w:color w:val="0000FF"/>
          <w:u w:val="single"/>
        </w:rPr>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5" w:history="1">
        <w:r w:rsidRPr="00396450">
          <w:rPr>
            <w:rStyle w:val="Hyperlink"/>
          </w:rPr>
          <w:t>http://www.fda.gov/downloads/MedicalDevices/DeviceRegulationandGuidance/GuidanceDocuments/ucm071230.pdf</w:t>
        </w:r>
      </w:hyperlink>
    </w:p>
  </w:endnote>
  <w:endnote w:id="9">
    <w:p w14:paraId="52617019" w14:textId="53A96BAA" w:rsidR="00DB4463" w:rsidRDefault="00DB4463" w:rsidP="00DB4463">
      <w:pPr>
        <w:pStyle w:val="EndnoteText"/>
      </w:pPr>
      <w:r>
        <w:rPr>
          <w:rStyle w:val="EndnoteReference"/>
        </w:rPr>
        <w:endnoteRef/>
      </w:r>
      <w:r>
        <w:t xml:space="preserve"> </w:t>
      </w:r>
      <w:r w:rsidRPr="009E3F73">
        <w:t>Custom Device Exemption Guidance</w:t>
      </w:r>
      <w:r>
        <w:rPr>
          <w:rStyle w:val="Hyperlink"/>
        </w:rPr>
        <w:t xml:space="preserve"> </w:t>
      </w:r>
      <w:hyperlink r:id="rId6" w:history="1">
        <w:r w:rsidRPr="001E5D91">
          <w:rPr>
            <w:rStyle w:val="Hyperlink"/>
          </w:rPr>
          <w:t>http://www.fda.gov/downloads/medicaldevices/deviceregulationandguidance/guidancedocuments/ucm415799.pd</w:t>
        </w:r>
      </w:hyperlink>
    </w:p>
    <w:p w14:paraId="11A51B8C" w14:textId="77777777" w:rsidR="00DB4463" w:rsidRPr="0089283A" w:rsidRDefault="00DB4463" w:rsidP="00DB4463">
      <w:pPr>
        <w:pStyle w:val="EndnoteText"/>
        <w:rPr>
          <w:color w:val="0000FF"/>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10B9" w14:textId="77777777" w:rsidR="007332B6" w:rsidRPr="009C62FD" w:rsidRDefault="0036404F" w:rsidP="00B44775">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8DEA" w14:textId="77777777" w:rsidR="0036404F" w:rsidRDefault="0036404F">
      <w:r>
        <w:separator/>
      </w:r>
    </w:p>
  </w:footnote>
  <w:footnote w:type="continuationSeparator" w:id="0">
    <w:p w14:paraId="360B4889" w14:textId="77777777" w:rsidR="0036404F" w:rsidRDefault="0036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761"/>
      <w:gridCol w:w="2763"/>
      <w:gridCol w:w="2746"/>
    </w:tblGrid>
    <w:tr w:rsidR="004A1B12" w:rsidRPr="006520A8" w14:paraId="3BDCC338" w14:textId="77777777" w:rsidTr="004A1B12">
      <w:trPr>
        <w:cantSplit/>
        <w:trHeight w:hRule="exact" w:val="360"/>
      </w:trPr>
      <w:tc>
        <w:tcPr>
          <w:tcW w:w="2421" w:type="dxa"/>
          <w:vMerge w:val="restart"/>
          <w:tcBorders>
            <w:top w:val="nil"/>
            <w:left w:val="nil"/>
            <w:right w:val="nil"/>
          </w:tcBorders>
          <w:vAlign w:val="center"/>
        </w:tcPr>
        <w:p w14:paraId="2C23EB6B" w14:textId="77777777" w:rsidR="004A1B12" w:rsidRPr="006520A8" w:rsidRDefault="00E20DF8" w:rsidP="0072720B">
          <w:pPr>
            <w:jc w:val="center"/>
            <w:rPr>
              <w:b/>
              <w:color w:val="FFFFFF"/>
            </w:rPr>
          </w:pPr>
          <w:r>
            <w:rPr>
              <w:noProof/>
            </w:rPr>
            <w:drawing>
              <wp:inline distT="0" distB="0" distL="0" distR="0" wp14:anchorId="6DB91279" wp14:editId="7006A8DC">
                <wp:extent cx="1469684" cy="566928"/>
                <wp:effectExtent l="0" t="0" r="0" b="5080"/>
                <wp:docPr id="1" name="Picture 1"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69684" cy="566928"/>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790B26CF" w14:textId="77777777" w:rsidR="004A1B12" w:rsidRPr="006520A8" w:rsidRDefault="004A1B12" w:rsidP="0072720B">
          <w:pPr>
            <w:pStyle w:val="SOPName"/>
            <w:jc w:val="right"/>
            <w:rPr>
              <w:rStyle w:val="SOPLeader"/>
              <w:rFonts w:ascii="Arial" w:hAnsi="Arial" w:cs="Arial"/>
            </w:rPr>
          </w:pPr>
        </w:p>
      </w:tc>
    </w:tr>
    <w:tr w:rsidR="004A1B12" w:rsidRPr="006520A8" w14:paraId="3E6D92B5" w14:textId="77777777" w:rsidTr="004A1B12">
      <w:trPr>
        <w:cantSplit/>
        <w:trHeight w:hRule="exact" w:val="360"/>
      </w:trPr>
      <w:tc>
        <w:tcPr>
          <w:tcW w:w="2421" w:type="dxa"/>
          <w:vMerge/>
          <w:tcBorders>
            <w:left w:val="nil"/>
            <w:right w:val="single" w:sz="8" w:space="0" w:color="auto"/>
          </w:tcBorders>
        </w:tcPr>
        <w:p w14:paraId="1F3A041A" w14:textId="77777777"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14:paraId="0FBC1B3C" w14:textId="77777777" w:rsidR="004A1B12" w:rsidRPr="00EA6348" w:rsidRDefault="004A1B12" w:rsidP="0072720B">
          <w:pPr>
            <w:pStyle w:val="SOPName"/>
            <w:rPr>
              <w:rFonts w:cs="Arial"/>
            </w:rPr>
          </w:pPr>
          <w:r>
            <w:rPr>
              <w:rStyle w:val="SOPLeader"/>
              <w:rFonts w:ascii="Arial" w:hAnsi="Arial" w:cs="Arial"/>
            </w:rPr>
            <w:t xml:space="preserve">WORKSHEET: </w:t>
          </w:r>
          <w:r w:rsidR="000B35A6">
            <w:rPr>
              <w:rStyle w:val="SOPLeader"/>
              <w:rFonts w:ascii="Arial" w:hAnsi="Arial" w:cs="Arial"/>
            </w:rPr>
            <w:t xml:space="preserve">Medical </w:t>
          </w:r>
          <w:r w:rsidRPr="00E20DF8">
            <w:rPr>
              <w:rStyle w:val="SOPLeader"/>
              <w:rFonts w:ascii="Arial" w:hAnsi="Arial" w:cs="Arial"/>
            </w:rPr>
            <w:t>Devices</w:t>
          </w:r>
        </w:p>
      </w:tc>
    </w:tr>
    <w:tr w:rsidR="004A1B12" w:rsidRPr="006520A8" w14:paraId="1AC768CC" w14:textId="77777777" w:rsidTr="004A1B12">
      <w:trPr>
        <w:cantSplit/>
        <w:trHeight w:val="195"/>
      </w:trPr>
      <w:tc>
        <w:tcPr>
          <w:tcW w:w="2421" w:type="dxa"/>
          <w:vMerge/>
          <w:tcBorders>
            <w:left w:val="nil"/>
            <w:right w:val="single" w:sz="8" w:space="0" w:color="auto"/>
          </w:tcBorders>
        </w:tcPr>
        <w:p w14:paraId="0CA1EF4A"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B65B2F0" w14:textId="77777777"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78E7ED9"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40A5269F"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14:paraId="23C3B4D7" w14:textId="77777777" w:rsidTr="004A1B12">
      <w:trPr>
        <w:cantSplit/>
        <w:trHeight w:val="195"/>
      </w:trPr>
      <w:tc>
        <w:tcPr>
          <w:tcW w:w="2421" w:type="dxa"/>
          <w:vMerge/>
          <w:tcBorders>
            <w:left w:val="nil"/>
            <w:bottom w:val="nil"/>
            <w:right w:val="single" w:sz="8" w:space="0" w:color="auto"/>
          </w:tcBorders>
        </w:tcPr>
        <w:p w14:paraId="6F0C1513"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D91783B" w14:textId="77777777"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p>
      </w:tc>
      <w:tc>
        <w:tcPr>
          <w:tcW w:w="2865" w:type="dxa"/>
          <w:tcBorders>
            <w:top w:val="single" w:sz="8" w:space="0" w:color="auto"/>
            <w:left w:val="single" w:sz="8" w:space="0" w:color="auto"/>
            <w:bottom w:val="single" w:sz="8" w:space="0" w:color="auto"/>
            <w:right w:val="single" w:sz="8" w:space="0" w:color="auto"/>
          </w:tcBorders>
          <w:vAlign w:val="center"/>
        </w:tcPr>
        <w:p w14:paraId="10BE52DE" w14:textId="614150B7" w:rsidR="004A1B12" w:rsidRPr="006520A8" w:rsidRDefault="002120D0" w:rsidP="0072720B">
          <w:pPr>
            <w:pStyle w:val="SOPTableEntry"/>
            <w:rPr>
              <w:rFonts w:ascii="Arial" w:hAnsi="Arial" w:cs="Arial"/>
            </w:rPr>
          </w:pPr>
          <w:r>
            <w:rPr>
              <w:rFonts w:ascii="Arial" w:hAnsi="Arial" w:cs="Arial"/>
            </w:rPr>
            <w:t>3/</w:t>
          </w:r>
          <w:r w:rsidR="00D40D77">
            <w:rPr>
              <w:rFonts w:ascii="Arial" w:hAnsi="Arial" w:cs="Arial"/>
            </w:rPr>
            <w:t>31</w:t>
          </w:r>
          <w:r>
            <w:rPr>
              <w:rFonts w:ascii="Arial" w:hAnsi="Arial" w:cs="Arial"/>
            </w:rPr>
            <w:t>/2021</w:t>
          </w:r>
        </w:p>
      </w:tc>
      <w:tc>
        <w:tcPr>
          <w:tcW w:w="2865" w:type="dxa"/>
          <w:tcBorders>
            <w:top w:val="single" w:sz="8" w:space="0" w:color="auto"/>
            <w:left w:val="single" w:sz="8" w:space="0" w:color="auto"/>
            <w:bottom w:val="single" w:sz="8" w:space="0" w:color="auto"/>
            <w:right w:val="single" w:sz="8" w:space="0" w:color="auto"/>
          </w:tcBorders>
          <w:vAlign w:val="center"/>
        </w:tcPr>
        <w:p w14:paraId="707DC38C" w14:textId="63FAABAC"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96F2D">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96F2D">
            <w:rPr>
              <w:rFonts w:ascii="Arial" w:hAnsi="Arial" w:cs="Arial"/>
              <w:noProof/>
            </w:rPr>
            <w:t>2</w:t>
          </w:r>
          <w:r w:rsidRPr="006520A8">
            <w:rPr>
              <w:rFonts w:ascii="Arial" w:hAnsi="Arial" w:cs="Arial"/>
            </w:rPr>
            <w:fldChar w:fldCharType="end"/>
          </w:r>
        </w:p>
      </w:tc>
    </w:tr>
  </w:tbl>
  <w:p w14:paraId="25FD7400" w14:textId="77777777" w:rsidR="007332B6" w:rsidRPr="00321577" w:rsidRDefault="007332B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D3867"/>
    <w:multiLevelType w:val="hybridMultilevel"/>
    <w:tmpl w:val="92EC1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03848EB"/>
    <w:multiLevelType w:val="hybridMultilevel"/>
    <w:tmpl w:val="4A0AC69E"/>
    <w:lvl w:ilvl="0" w:tplc="86B673C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FCC3242"/>
    <w:multiLevelType w:val="hybridMultilevel"/>
    <w:tmpl w:val="7722E6E2"/>
    <w:lvl w:ilvl="0" w:tplc="3DBE09D4">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6514FB"/>
    <w:multiLevelType w:val="hybridMultilevel"/>
    <w:tmpl w:val="EFBEE4A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EE39E9"/>
    <w:multiLevelType w:val="multilevel"/>
    <w:tmpl w:val="BB8ED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30"/>
  </w:num>
  <w:num w:numId="17">
    <w:abstractNumId w:val="15"/>
  </w:num>
  <w:num w:numId="18">
    <w:abstractNumId w:val="29"/>
  </w:num>
  <w:num w:numId="19">
    <w:abstractNumId w:val="28"/>
  </w:num>
  <w:num w:numId="20">
    <w:abstractNumId w:val="27"/>
  </w:num>
  <w:num w:numId="21">
    <w:abstractNumId w:val="31"/>
  </w:num>
  <w:num w:numId="22">
    <w:abstractNumId w:val="18"/>
  </w:num>
  <w:num w:numId="23">
    <w:abstractNumId w:val="13"/>
  </w:num>
  <w:num w:numId="24">
    <w:abstractNumId w:val="34"/>
  </w:num>
  <w:num w:numId="25">
    <w:abstractNumId w:val="16"/>
  </w:num>
  <w:num w:numId="26">
    <w:abstractNumId w:val="22"/>
  </w:num>
  <w:num w:numId="27">
    <w:abstractNumId w:val="33"/>
  </w:num>
  <w:num w:numId="28">
    <w:abstractNumId w:val="22"/>
  </w:num>
  <w:num w:numId="29">
    <w:abstractNumId w:val="22"/>
  </w:num>
  <w:num w:numId="30">
    <w:abstractNumId w:val="22"/>
  </w:num>
  <w:num w:numId="31">
    <w:abstractNumId w:val="22"/>
  </w:num>
  <w:num w:numId="32">
    <w:abstractNumId w:val="22"/>
  </w:num>
  <w:num w:numId="33">
    <w:abstractNumId w:val="19"/>
  </w:num>
  <w:num w:numId="34">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2"/>
  </w:num>
  <w:num w:numId="37">
    <w:abstractNumId w:val="22"/>
  </w:num>
  <w:num w:numId="38">
    <w:abstractNumId w:val="22"/>
  </w:num>
  <w:num w:numId="39">
    <w:abstractNumId w:val="22"/>
    <w:lvlOverride w:ilvl="0">
      <w:startOverride w:val="1"/>
    </w:lvlOverride>
  </w:num>
  <w:num w:numId="40">
    <w:abstractNumId w:val="2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 w:ilvl="0">
        <w:numFmt w:val="lowerLetter"/>
        <w:lvlText w:val="%1."/>
        <w:lvlJc w:val="left"/>
      </w:lvl>
    </w:lvlOverride>
  </w:num>
  <w:num w:numId="43">
    <w:abstractNumId w:val="32"/>
    <w:lvlOverride w:ilvl="0">
      <w:lvl w:ilvl="0">
        <w:numFmt w:val="lowerLetter"/>
        <w:lvlText w:val="%1."/>
        <w:lvlJc w:val="left"/>
      </w:lvl>
    </w:lvlOverride>
    <w:lvlOverride w:ilvl="1">
      <w:lvl w:ilvl="1">
        <w:numFmt w:val="lowerRoman"/>
        <w:lvlText w:val="%2."/>
        <w:lvlJc w:val="right"/>
      </w:lvl>
    </w:lvlOverride>
  </w:num>
  <w:num w:numId="44">
    <w:abstractNumId w:val="11"/>
  </w:num>
  <w:num w:numId="45">
    <w:abstractNumId w:val="21"/>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g8lRtVlnNuP2ebDtGpRutN2Ue/JhDw7B2hDtItMPP2jF0A9RMrrLkHIjUBDea/F6EmO8f62Q2j538JdihUTMA==" w:salt="PRs2HcyFXZ7ATtp9CwCO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74239E2-5AF2-47E4-A84F-6B2A5469BC32}"/>
    <w:docVar w:name="dgnword-eventsink" w:val="52122736"/>
  </w:docVars>
  <w:rsids>
    <w:rsidRoot w:val="00912A6F"/>
    <w:rsid w:val="00010216"/>
    <w:rsid w:val="00014BD9"/>
    <w:rsid w:val="00035460"/>
    <w:rsid w:val="000358C1"/>
    <w:rsid w:val="0005763B"/>
    <w:rsid w:val="0006497D"/>
    <w:rsid w:val="000714E5"/>
    <w:rsid w:val="00076A61"/>
    <w:rsid w:val="000954C3"/>
    <w:rsid w:val="000A0BC5"/>
    <w:rsid w:val="000B35A6"/>
    <w:rsid w:val="000F2DE3"/>
    <w:rsid w:val="000F3814"/>
    <w:rsid w:val="000F4E8D"/>
    <w:rsid w:val="00122C03"/>
    <w:rsid w:val="00126A31"/>
    <w:rsid w:val="001604F7"/>
    <w:rsid w:val="001746C5"/>
    <w:rsid w:val="00175395"/>
    <w:rsid w:val="001815AA"/>
    <w:rsid w:val="00194A43"/>
    <w:rsid w:val="001A518B"/>
    <w:rsid w:val="001B56EF"/>
    <w:rsid w:val="001B5FE2"/>
    <w:rsid w:val="001C1FEF"/>
    <w:rsid w:val="001D29A3"/>
    <w:rsid w:val="001D7025"/>
    <w:rsid w:val="001F4C23"/>
    <w:rsid w:val="00203103"/>
    <w:rsid w:val="00203EDA"/>
    <w:rsid w:val="002120D0"/>
    <w:rsid w:val="002266CE"/>
    <w:rsid w:val="002326C0"/>
    <w:rsid w:val="002512EE"/>
    <w:rsid w:val="00255A14"/>
    <w:rsid w:val="00277587"/>
    <w:rsid w:val="002A2E17"/>
    <w:rsid w:val="002B723F"/>
    <w:rsid w:val="002D678D"/>
    <w:rsid w:val="002D7C58"/>
    <w:rsid w:val="0030286A"/>
    <w:rsid w:val="0030441F"/>
    <w:rsid w:val="00305112"/>
    <w:rsid w:val="003166F3"/>
    <w:rsid w:val="00321577"/>
    <w:rsid w:val="00321834"/>
    <w:rsid w:val="00325720"/>
    <w:rsid w:val="003279F1"/>
    <w:rsid w:val="0034063F"/>
    <w:rsid w:val="003470C7"/>
    <w:rsid w:val="003534E1"/>
    <w:rsid w:val="0036404F"/>
    <w:rsid w:val="00365309"/>
    <w:rsid w:val="003774F5"/>
    <w:rsid w:val="00380737"/>
    <w:rsid w:val="00396450"/>
    <w:rsid w:val="003C3278"/>
    <w:rsid w:val="003C697C"/>
    <w:rsid w:val="003D5084"/>
    <w:rsid w:val="003E0406"/>
    <w:rsid w:val="003E1AF6"/>
    <w:rsid w:val="003E387C"/>
    <w:rsid w:val="003E6066"/>
    <w:rsid w:val="0040378A"/>
    <w:rsid w:val="004113B3"/>
    <w:rsid w:val="00436538"/>
    <w:rsid w:val="0046138D"/>
    <w:rsid w:val="0046761C"/>
    <w:rsid w:val="00467936"/>
    <w:rsid w:val="00481B76"/>
    <w:rsid w:val="00491E47"/>
    <w:rsid w:val="004A1B12"/>
    <w:rsid w:val="004B1A6B"/>
    <w:rsid w:val="004B2131"/>
    <w:rsid w:val="004C2CA3"/>
    <w:rsid w:val="004D2EA4"/>
    <w:rsid w:val="00510E5E"/>
    <w:rsid w:val="00532912"/>
    <w:rsid w:val="00546D5A"/>
    <w:rsid w:val="005540BA"/>
    <w:rsid w:val="00555652"/>
    <w:rsid w:val="00576817"/>
    <w:rsid w:val="00584F51"/>
    <w:rsid w:val="005857DA"/>
    <w:rsid w:val="005928C5"/>
    <w:rsid w:val="005B694F"/>
    <w:rsid w:val="005C4715"/>
    <w:rsid w:val="005C6D24"/>
    <w:rsid w:val="005D00E1"/>
    <w:rsid w:val="005F043E"/>
    <w:rsid w:val="005F3369"/>
    <w:rsid w:val="00610071"/>
    <w:rsid w:val="00610ED8"/>
    <w:rsid w:val="00621710"/>
    <w:rsid w:val="00624399"/>
    <w:rsid w:val="00626D7C"/>
    <w:rsid w:val="00641B4A"/>
    <w:rsid w:val="0064239E"/>
    <w:rsid w:val="00660C0B"/>
    <w:rsid w:val="00662B81"/>
    <w:rsid w:val="00683315"/>
    <w:rsid w:val="00685D8F"/>
    <w:rsid w:val="0069117E"/>
    <w:rsid w:val="00692AF3"/>
    <w:rsid w:val="006A4FDC"/>
    <w:rsid w:val="006A7F27"/>
    <w:rsid w:val="006B6C44"/>
    <w:rsid w:val="006C1E27"/>
    <w:rsid w:val="006E0858"/>
    <w:rsid w:val="00702F8D"/>
    <w:rsid w:val="00705437"/>
    <w:rsid w:val="00706E3B"/>
    <w:rsid w:val="007135A0"/>
    <w:rsid w:val="0072159D"/>
    <w:rsid w:val="0072720B"/>
    <w:rsid w:val="007332B6"/>
    <w:rsid w:val="007414DD"/>
    <w:rsid w:val="00745F5A"/>
    <w:rsid w:val="00746AEB"/>
    <w:rsid w:val="0075100F"/>
    <w:rsid w:val="00761E9E"/>
    <w:rsid w:val="00765CA8"/>
    <w:rsid w:val="0076717F"/>
    <w:rsid w:val="007963BF"/>
    <w:rsid w:val="00797040"/>
    <w:rsid w:val="007A0593"/>
    <w:rsid w:val="007A49B5"/>
    <w:rsid w:val="00813663"/>
    <w:rsid w:val="008263E3"/>
    <w:rsid w:val="00826BE4"/>
    <w:rsid w:val="008312B5"/>
    <w:rsid w:val="00837738"/>
    <w:rsid w:val="008509BB"/>
    <w:rsid w:val="00852F04"/>
    <w:rsid w:val="00856C5E"/>
    <w:rsid w:val="0086385A"/>
    <w:rsid w:val="00865C42"/>
    <w:rsid w:val="00873E24"/>
    <w:rsid w:val="0089283A"/>
    <w:rsid w:val="00896F2D"/>
    <w:rsid w:val="008B24E4"/>
    <w:rsid w:val="008E0391"/>
    <w:rsid w:val="008E2096"/>
    <w:rsid w:val="008F58EE"/>
    <w:rsid w:val="00907274"/>
    <w:rsid w:val="00912A6F"/>
    <w:rsid w:val="0093595A"/>
    <w:rsid w:val="009440A9"/>
    <w:rsid w:val="00944550"/>
    <w:rsid w:val="009614DC"/>
    <w:rsid w:val="0098663D"/>
    <w:rsid w:val="009975B4"/>
    <w:rsid w:val="009A2532"/>
    <w:rsid w:val="009C62FD"/>
    <w:rsid w:val="009D5E0C"/>
    <w:rsid w:val="009E3B64"/>
    <w:rsid w:val="009E3F73"/>
    <w:rsid w:val="00A05445"/>
    <w:rsid w:val="00A05FAF"/>
    <w:rsid w:val="00A07413"/>
    <w:rsid w:val="00A203E7"/>
    <w:rsid w:val="00A33F2D"/>
    <w:rsid w:val="00A51A16"/>
    <w:rsid w:val="00A61127"/>
    <w:rsid w:val="00A77161"/>
    <w:rsid w:val="00A80A89"/>
    <w:rsid w:val="00A86578"/>
    <w:rsid w:val="00A874C8"/>
    <w:rsid w:val="00A92B98"/>
    <w:rsid w:val="00AB5B22"/>
    <w:rsid w:val="00AB6B0A"/>
    <w:rsid w:val="00AD0E64"/>
    <w:rsid w:val="00AD4F01"/>
    <w:rsid w:val="00AD5394"/>
    <w:rsid w:val="00AE1DBD"/>
    <w:rsid w:val="00AE2818"/>
    <w:rsid w:val="00AF6AC8"/>
    <w:rsid w:val="00B014FE"/>
    <w:rsid w:val="00B02CCC"/>
    <w:rsid w:val="00B04DC0"/>
    <w:rsid w:val="00B0703F"/>
    <w:rsid w:val="00B168E3"/>
    <w:rsid w:val="00B20BD2"/>
    <w:rsid w:val="00B4278A"/>
    <w:rsid w:val="00B44775"/>
    <w:rsid w:val="00B45EDB"/>
    <w:rsid w:val="00B46D37"/>
    <w:rsid w:val="00B71E5E"/>
    <w:rsid w:val="00B86C18"/>
    <w:rsid w:val="00B968BA"/>
    <w:rsid w:val="00BA00A1"/>
    <w:rsid w:val="00BC050B"/>
    <w:rsid w:val="00BC4245"/>
    <w:rsid w:val="00BD068B"/>
    <w:rsid w:val="00BE54A6"/>
    <w:rsid w:val="00BE59D8"/>
    <w:rsid w:val="00BE5B3B"/>
    <w:rsid w:val="00BF22E9"/>
    <w:rsid w:val="00C0319E"/>
    <w:rsid w:val="00C157B7"/>
    <w:rsid w:val="00C22E08"/>
    <w:rsid w:val="00C36582"/>
    <w:rsid w:val="00C443B4"/>
    <w:rsid w:val="00C46C0C"/>
    <w:rsid w:val="00C50C3E"/>
    <w:rsid w:val="00C609A6"/>
    <w:rsid w:val="00C74B1C"/>
    <w:rsid w:val="00C873F1"/>
    <w:rsid w:val="00C9312D"/>
    <w:rsid w:val="00C93AEA"/>
    <w:rsid w:val="00C94427"/>
    <w:rsid w:val="00CA7245"/>
    <w:rsid w:val="00CB0872"/>
    <w:rsid w:val="00CB29B7"/>
    <w:rsid w:val="00CC2DC7"/>
    <w:rsid w:val="00CD45F2"/>
    <w:rsid w:val="00D019D1"/>
    <w:rsid w:val="00D02E37"/>
    <w:rsid w:val="00D054B6"/>
    <w:rsid w:val="00D05D14"/>
    <w:rsid w:val="00D10A06"/>
    <w:rsid w:val="00D13383"/>
    <w:rsid w:val="00D148A2"/>
    <w:rsid w:val="00D154EC"/>
    <w:rsid w:val="00D31EDB"/>
    <w:rsid w:val="00D35E57"/>
    <w:rsid w:val="00D40D77"/>
    <w:rsid w:val="00D576FF"/>
    <w:rsid w:val="00D723E8"/>
    <w:rsid w:val="00D767D3"/>
    <w:rsid w:val="00DA1AFB"/>
    <w:rsid w:val="00DB4463"/>
    <w:rsid w:val="00DC1BBF"/>
    <w:rsid w:val="00DC2F67"/>
    <w:rsid w:val="00DE403F"/>
    <w:rsid w:val="00DE412F"/>
    <w:rsid w:val="00DE7DC9"/>
    <w:rsid w:val="00DF2950"/>
    <w:rsid w:val="00DF3EC4"/>
    <w:rsid w:val="00E042C0"/>
    <w:rsid w:val="00E10D9A"/>
    <w:rsid w:val="00E1663F"/>
    <w:rsid w:val="00E17E81"/>
    <w:rsid w:val="00E20DF8"/>
    <w:rsid w:val="00E24DF8"/>
    <w:rsid w:val="00E2562B"/>
    <w:rsid w:val="00E74D8B"/>
    <w:rsid w:val="00E77BA3"/>
    <w:rsid w:val="00E90AC7"/>
    <w:rsid w:val="00EA5EA0"/>
    <w:rsid w:val="00EA6CCC"/>
    <w:rsid w:val="00EB4E7B"/>
    <w:rsid w:val="00EB60B9"/>
    <w:rsid w:val="00EC68AF"/>
    <w:rsid w:val="00EF1B36"/>
    <w:rsid w:val="00F00C0C"/>
    <w:rsid w:val="00F133CB"/>
    <w:rsid w:val="00F168C5"/>
    <w:rsid w:val="00F17BE2"/>
    <w:rsid w:val="00F305C6"/>
    <w:rsid w:val="00F3136C"/>
    <w:rsid w:val="00F31CD8"/>
    <w:rsid w:val="00F322D1"/>
    <w:rsid w:val="00F573F8"/>
    <w:rsid w:val="00F73D74"/>
    <w:rsid w:val="00F773C1"/>
    <w:rsid w:val="00F83283"/>
    <w:rsid w:val="00F90C29"/>
    <w:rsid w:val="00FB2CBC"/>
    <w:rsid w:val="00FB2DF4"/>
    <w:rsid w:val="00FC36F1"/>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A2E687"/>
  <w15:docId w15:val="{0562BCFC-E514-4CC2-AE0D-60B76B32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 w:type="character" w:styleId="CommentReference">
    <w:name w:val="annotation reference"/>
    <w:basedOn w:val="DefaultParagraphFont"/>
    <w:semiHidden/>
    <w:unhideWhenUsed/>
    <w:rsid w:val="000B35A6"/>
    <w:rPr>
      <w:sz w:val="16"/>
      <w:szCs w:val="16"/>
    </w:rPr>
  </w:style>
  <w:style w:type="paragraph" w:styleId="CommentText">
    <w:name w:val="annotation text"/>
    <w:basedOn w:val="Normal"/>
    <w:link w:val="CommentTextChar"/>
    <w:semiHidden/>
    <w:unhideWhenUsed/>
    <w:rsid w:val="000B35A6"/>
    <w:rPr>
      <w:sz w:val="20"/>
      <w:szCs w:val="20"/>
    </w:rPr>
  </w:style>
  <w:style w:type="character" w:customStyle="1" w:styleId="CommentTextChar">
    <w:name w:val="Comment Text Char"/>
    <w:basedOn w:val="DefaultParagraphFont"/>
    <w:link w:val="CommentText"/>
    <w:semiHidden/>
    <w:rsid w:val="000B35A6"/>
  </w:style>
  <w:style w:type="paragraph" w:styleId="CommentSubject">
    <w:name w:val="annotation subject"/>
    <w:basedOn w:val="CommentText"/>
    <w:next w:val="CommentText"/>
    <w:link w:val="CommentSubjectChar"/>
    <w:semiHidden/>
    <w:unhideWhenUsed/>
    <w:rsid w:val="000B35A6"/>
    <w:rPr>
      <w:b/>
      <w:bCs/>
    </w:rPr>
  </w:style>
  <w:style w:type="character" w:customStyle="1" w:styleId="CommentSubjectChar">
    <w:name w:val="Comment Subject Char"/>
    <w:basedOn w:val="CommentTextChar"/>
    <w:link w:val="CommentSubject"/>
    <w:semiHidden/>
    <w:rsid w:val="000B35A6"/>
    <w:rPr>
      <w:b/>
      <w:bCs/>
    </w:rPr>
  </w:style>
  <w:style w:type="paragraph" w:styleId="Revision">
    <w:name w:val="Revision"/>
    <w:hidden/>
    <w:uiPriority w:val="99"/>
    <w:semiHidden/>
    <w:rsid w:val="000B35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 w:id="5295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hde/hde.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80958/download" TargetMode="External"/><Relationship Id="rId2" Type="http://schemas.openxmlformats.org/officeDocument/2006/relationships/hyperlink" Target="https://www.fda.gov/media/109622/download" TargetMode="External"/><Relationship Id="rId1" Type="http://schemas.openxmlformats.org/officeDocument/2006/relationships/hyperlink" Target="https://www.fda.gov/media/109622/download" TargetMode="External"/><Relationship Id="rId6" Type="http://schemas.openxmlformats.org/officeDocument/2006/relationships/hyperlink" Target="http://www.fda.gov/downloads/medicaldevices/deviceregulationandguidance/guidancedocuments/ucm415799.pd" TargetMode="External"/><Relationship Id="rId5" Type="http://schemas.openxmlformats.org/officeDocument/2006/relationships/hyperlink" Target="http://www.fda.gov/downloads/MedicalDevices/DeviceRegulationandGuidance/GuidanceDocuments/ucm071230.pdf" TargetMode="External"/><Relationship Id="rId4" Type="http://schemas.openxmlformats.org/officeDocument/2006/relationships/hyperlink" Target="http://www.fda.gov/downloads/regulatoryinformation/guidances/ucm126418.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i_153e2e3d2409e8e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193F-D9DA-46C2-9315-1400D9F8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WORKSHEET: Devices</vt:lpstr>
    </vt:vector>
  </TitlesOfParts>
  <Manager>Huron Consulting Group, Inc.</Manager>
  <Company>Huron Consulting Group, Inc.</Company>
  <LinksUpToDate>false</LinksUpToDate>
  <CharactersWithSpaces>4950</CharactersWithSpaces>
  <SharedDoc>false</SharedDoc>
  <HLinks>
    <vt:vector size="24"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Courtney Jarboe</cp:lastModifiedBy>
  <cp:revision>7</cp:revision>
  <cp:lastPrinted>2018-06-26T14:18:00Z</cp:lastPrinted>
  <dcterms:created xsi:type="dcterms:W3CDTF">2021-03-31T16:00:00Z</dcterms:created>
  <dcterms:modified xsi:type="dcterms:W3CDTF">2021-03-31T20:59:00Z</dcterms:modified>
  <cp:category>WORKSHEET</cp:category>
</cp:coreProperties>
</file>